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9CF" w14:textId="77777777" w:rsidR="00002990" w:rsidRPr="00AD1560" w:rsidRDefault="00606C23" w:rsidP="00A55989">
      <w:pPr>
        <w:pStyle w:val="VDWCbodynospace"/>
      </w:pPr>
      <w:r w:rsidRPr="00AD1560">
        <w:rPr>
          <w:noProof/>
        </w:rPr>
        <w:drawing>
          <wp:anchor distT="0" distB="0" distL="114300" distR="114300" simplePos="0" relativeHeight="251657728" behindDoc="1" locked="1" layoutInCell="0" allowOverlap="1" wp14:anchorId="62089091" wp14:editId="59E3C0AE">
            <wp:simplePos x="0" y="0"/>
            <wp:positionH relativeFrom="page">
              <wp:posOffset>0</wp:posOffset>
            </wp:positionH>
            <wp:positionV relativeFrom="page">
              <wp:posOffset>0</wp:posOffset>
            </wp:positionV>
            <wp:extent cx="7561580" cy="10696575"/>
            <wp:effectExtent l="0" t="0" r="1270" b="9525"/>
            <wp:wrapNone/>
            <wp:docPr id="2" name="Picture 99"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9" descr="Victorian Disability Worker Commission"/>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34" w:type="dxa"/>
        <w:tblInd w:w="113" w:type="dxa"/>
        <w:tblCellMar>
          <w:left w:w="0" w:type="dxa"/>
          <w:right w:w="0" w:type="dxa"/>
        </w:tblCellMar>
        <w:tblLook w:val="0600" w:firstRow="0" w:lastRow="0" w:firstColumn="0" w:lastColumn="0" w:noHBand="1" w:noVBand="1"/>
      </w:tblPr>
      <w:tblGrid>
        <w:gridCol w:w="8534"/>
      </w:tblGrid>
      <w:tr w:rsidR="009A2530" w:rsidRPr="00AD1560" w14:paraId="6A818BE1" w14:textId="77777777" w:rsidTr="009A2530">
        <w:trPr>
          <w:trHeight w:val="3411"/>
        </w:trPr>
        <w:tc>
          <w:tcPr>
            <w:tcW w:w="8534" w:type="dxa"/>
            <w:shd w:val="clear" w:color="auto" w:fill="auto"/>
          </w:tcPr>
          <w:p w14:paraId="179C35FD" w14:textId="2AF8659B" w:rsidR="009A2530" w:rsidRPr="00AD1560" w:rsidRDefault="009A2530" w:rsidP="00E91933">
            <w:pPr>
              <w:pStyle w:val="VDWCreportsubtitlewhite"/>
              <w:rPr>
                <w:sz w:val="40"/>
                <w:szCs w:val="50"/>
              </w:rPr>
            </w:pPr>
            <w:r w:rsidRPr="00AD1560">
              <w:rPr>
                <w:sz w:val="40"/>
                <w:szCs w:val="50"/>
              </w:rPr>
              <w:t>Victorian Disability Worker Commission and Disability Worker Registration Board of Victoria</w:t>
            </w:r>
            <w:r w:rsidRPr="00AD1560">
              <w:rPr>
                <w:sz w:val="40"/>
                <w:szCs w:val="50"/>
              </w:rPr>
              <w:br/>
            </w:r>
            <w:r w:rsidR="00224953" w:rsidRPr="00AD1560">
              <w:rPr>
                <w:sz w:val="40"/>
                <w:szCs w:val="50"/>
              </w:rPr>
              <w:t>c</w:t>
            </w:r>
            <w:r w:rsidR="00AE16E2" w:rsidRPr="00AD1560">
              <w:rPr>
                <w:sz w:val="40"/>
                <w:szCs w:val="50"/>
              </w:rPr>
              <w:t>orporate plan 2022–2024</w:t>
            </w:r>
          </w:p>
          <w:p w14:paraId="5ECFF1F1" w14:textId="7B505A64" w:rsidR="00444D82" w:rsidRPr="00AD1560" w:rsidRDefault="00444D82" w:rsidP="00E91933">
            <w:pPr>
              <w:pStyle w:val="VDWCreportsubtitlewhite"/>
            </w:pPr>
          </w:p>
        </w:tc>
      </w:tr>
    </w:tbl>
    <w:p w14:paraId="06E03512" w14:textId="77777777" w:rsidR="0069374A" w:rsidRPr="00AD1560" w:rsidRDefault="0069374A" w:rsidP="00256E7C">
      <w:pPr>
        <w:pStyle w:val="VDWCbody"/>
      </w:pPr>
    </w:p>
    <w:p w14:paraId="6260B074" w14:textId="77777777" w:rsidR="00C51B1C" w:rsidRPr="00AD1560" w:rsidRDefault="00C51B1C" w:rsidP="00256E7C">
      <w:pPr>
        <w:pStyle w:val="VDWCbody"/>
        <w:sectPr w:rsidR="00C51B1C" w:rsidRPr="00AD1560" w:rsidSect="00EC1DD4">
          <w:headerReference w:type="even" r:id="rId12"/>
          <w:headerReference w:type="default" r:id="rId13"/>
          <w:footerReference w:type="even" r:id="rId14"/>
          <w:footerReference w:type="default" r:id="rId15"/>
          <w:headerReference w:type="first" r:id="rId16"/>
          <w:footerReference w:type="first" r:id="rId17"/>
          <w:type w:val="oddPage"/>
          <w:pgSz w:w="11906" w:h="16838"/>
          <w:pgMar w:top="5103" w:right="1304" w:bottom="1134" w:left="1134" w:header="454" w:footer="567" w:gutter="0"/>
          <w:cols w:space="720"/>
          <w:docGrid w:linePitch="360"/>
        </w:sectPr>
      </w:pPr>
    </w:p>
    <w:p w14:paraId="325E45D5" w14:textId="77777777" w:rsidR="00033618" w:rsidRPr="00AD1560" w:rsidRDefault="00033618" w:rsidP="00960352">
      <w:pPr>
        <w:pStyle w:val="Heading1Imprint"/>
      </w:pPr>
      <w:r w:rsidRPr="00AD1560">
        <w:lastRenderedPageBreak/>
        <w:t>Acknowledgement of Country</w:t>
      </w:r>
    </w:p>
    <w:p w14:paraId="65A9C13C" w14:textId="079D4E6A" w:rsidR="00033618" w:rsidRPr="00AD1560" w:rsidRDefault="00960352" w:rsidP="00033618">
      <w:pPr>
        <w:pStyle w:val="VDWCbody"/>
      </w:pPr>
      <w:r w:rsidRPr="00AD1560">
        <w:t>We proudly acknowledge Victoria’s First Nations peoples and their ongoing strength in practising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p>
    <w:p w14:paraId="3C67183A" w14:textId="77777777" w:rsidR="00033618" w:rsidRPr="00AD1560" w:rsidRDefault="00033618" w:rsidP="00960352">
      <w:pPr>
        <w:pStyle w:val="Heading1Imprint"/>
      </w:pPr>
      <w:bookmarkStart w:id="0" w:name="_Toc81408302"/>
      <w:bookmarkStart w:id="1" w:name="_Toc81584322"/>
      <w:r w:rsidRPr="00AD1560">
        <w:t>Accessibility statement</w:t>
      </w:r>
      <w:bookmarkEnd w:id="0"/>
      <w:bookmarkEnd w:id="1"/>
    </w:p>
    <w:p w14:paraId="5A194575" w14:textId="6C82E137" w:rsidR="00033618" w:rsidRPr="00AD1560" w:rsidRDefault="00033618" w:rsidP="00033618">
      <w:pPr>
        <w:pStyle w:val="VDWCbody"/>
      </w:pPr>
      <w:r w:rsidRPr="00AD1560">
        <w:t xml:space="preserve">If you </w:t>
      </w:r>
      <w:r w:rsidR="00B97A75" w:rsidRPr="00AD1560">
        <w:t>would like</w:t>
      </w:r>
      <w:r w:rsidRPr="00AD1560">
        <w:t xml:space="preserve"> an alternative format, please </w:t>
      </w:r>
      <w:hyperlink r:id="rId18" w:history="1">
        <w:r w:rsidR="00DE5387" w:rsidRPr="00AD1560">
          <w:rPr>
            <w:rStyle w:val="Hyperlink"/>
          </w:rPr>
          <w:t>email the Commission</w:t>
        </w:r>
      </w:hyperlink>
      <w:r w:rsidR="00DE5387" w:rsidRPr="00AD1560">
        <w:t xml:space="preserve"> </w:t>
      </w:r>
      <w:r w:rsidRPr="00AD1560">
        <w:t>&lt;info@vdwc.vic.gov.au&gt;.</w:t>
      </w:r>
    </w:p>
    <w:p w14:paraId="7406F20A" w14:textId="1936164E" w:rsidR="00960352" w:rsidRPr="00AD1560" w:rsidRDefault="00960352" w:rsidP="00960352">
      <w:pPr>
        <w:pStyle w:val="VDWCbody"/>
      </w:pPr>
      <w:r w:rsidRPr="00AD1560">
        <w:t xml:space="preserve">This document is also available in Word and PDF formats on </w:t>
      </w:r>
      <w:hyperlink r:id="rId19" w:history="1">
        <w:r w:rsidRPr="00AD1560">
          <w:rPr>
            <w:rStyle w:val="Hyperlink"/>
          </w:rPr>
          <w:t>the Commission’s website</w:t>
        </w:r>
      </w:hyperlink>
      <w:r w:rsidRPr="00AD1560">
        <w:t xml:space="preserve"> &lt;https://vdwc.vic.gov.au&gt;.</w:t>
      </w:r>
    </w:p>
    <w:p w14:paraId="168A71EC" w14:textId="77777777" w:rsidR="00033618" w:rsidRPr="00AD1560" w:rsidRDefault="00033618" w:rsidP="00033618">
      <w:pPr>
        <w:pStyle w:val="VDWCbody"/>
      </w:pPr>
      <w:r w:rsidRPr="00AD1560">
        <w:t xml:space="preserve">The Commission and Board are statutory entities of the State Government of Victoria created under the </w:t>
      </w:r>
      <w:r w:rsidRPr="00AD1560">
        <w:rPr>
          <w:i/>
          <w:iCs/>
        </w:rPr>
        <w:t>Disability Service Safeguards Act 2018</w:t>
      </w:r>
      <w:r w:rsidRPr="00AD1560">
        <w:t xml:space="preserve">. </w:t>
      </w:r>
    </w:p>
    <w:p w14:paraId="58412B19" w14:textId="77777777" w:rsidR="00033618" w:rsidRPr="00AD1560" w:rsidRDefault="00033618" w:rsidP="00033618">
      <w:pPr>
        <w:pStyle w:val="VDWCbody"/>
      </w:pPr>
      <w:r w:rsidRPr="00AD1560">
        <w:t>© State of Victoria (Victorian Disability Worker Commission and Disability Worker Registration Board of Victoria) 2022</w:t>
      </w:r>
    </w:p>
    <w:p w14:paraId="571F390B" w14:textId="2B2D78B3" w:rsidR="00033618" w:rsidRPr="00AD1560" w:rsidRDefault="00033618" w:rsidP="00033618">
      <w:pPr>
        <w:pStyle w:val="VDWCbody"/>
      </w:pPr>
      <w:r w:rsidRPr="00AD1560">
        <w:t xml:space="preserve">The </w:t>
      </w:r>
      <w:r w:rsidRPr="00AD1560">
        <w:rPr>
          <w:i/>
          <w:iCs/>
        </w:rPr>
        <w:t xml:space="preserve">Victorian Disability Worker Commission and Disability Worker Registration Board of Victoria </w:t>
      </w:r>
      <w:r w:rsidR="00960352" w:rsidRPr="00AD1560">
        <w:rPr>
          <w:i/>
          <w:iCs/>
        </w:rPr>
        <w:t>c</w:t>
      </w:r>
      <w:r w:rsidR="00B97A75" w:rsidRPr="00AD1560">
        <w:rPr>
          <w:i/>
          <w:iCs/>
        </w:rPr>
        <w:t>orporate plan</w:t>
      </w:r>
      <w:r w:rsidRPr="00AD1560">
        <w:rPr>
          <w:i/>
          <w:iCs/>
        </w:rPr>
        <w:t xml:space="preserve"> 202</w:t>
      </w:r>
      <w:r w:rsidR="00B97A75" w:rsidRPr="00AD1560">
        <w:rPr>
          <w:i/>
          <w:iCs/>
        </w:rPr>
        <w:t>2–</w:t>
      </w:r>
      <w:r w:rsidRPr="00AD1560">
        <w:rPr>
          <w:i/>
          <w:iCs/>
        </w:rPr>
        <w:t>202</w:t>
      </w:r>
      <w:r w:rsidR="00B97A75" w:rsidRPr="00AD1560">
        <w:rPr>
          <w:i/>
          <w:iCs/>
        </w:rPr>
        <w:t>4</w:t>
      </w:r>
      <w:r w:rsidRPr="00AD1560">
        <w:t xml:space="preserve"> is licenced under a Creative Commons Attribution 4.0 licence.</w:t>
      </w:r>
    </w:p>
    <w:p w14:paraId="0A7C3BCE" w14:textId="5F1C9113" w:rsidR="008B788A" w:rsidRPr="00AD1560" w:rsidRDefault="008B788A" w:rsidP="008B788A">
      <w:pPr>
        <w:pStyle w:val="VDWCbody"/>
      </w:pPr>
      <w:r w:rsidRPr="00AD1560">
        <w:rPr>
          <w:noProof/>
          <w:highlight w:val="yellow"/>
        </w:rPr>
        <w:drawing>
          <wp:inline distT="0" distB="0" distL="0" distR="0" wp14:anchorId="65F65CAB" wp14:editId="58A9111E">
            <wp:extent cx="1222375" cy="422275"/>
            <wp:effectExtent l="0" t="0" r="0" b="0"/>
            <wp:docPr id="3" name="Picture 4" descr="Creative Commons Attribution 4.0 International (CC BY 4.0)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reative Commons Attribution 4.0 International (CC BY 4.0) licence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3DC4877" w14:textId="687B8666" w:rsidR="00033618" w:rsidRPr="00AD1560" w:rsidRDefault="008B788A" w:rsidP="008B788A">
      <w:pPr>
        <w:pStyle w:val="VDWCbody"/>
      </w:pPr>
      <w:r w:rsidRPr="00AD1560">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46766640" w14:textId="77777777" w:rsidR="00033618" w:rsidRPr="00AD1560" w:rsidRDefault="00033618" w:rsidP="00033618">
      <w:pPr>
        <w:pStyle w:val="VDWCbody"/>
      </w:pPr>
      <w:r w:rsidRPr="00AD1560">
        <w:t>Copyright queries may be directed to info@vdwc.vic.gov.au</w:t>
      </w:r>
    </w:p>
    <w:p w14:paraId="473D88E8" w14:textId="67D6B23F" w:rsidR="00033618" w:rsidRPr="00AD1560" w:rsidRDefault="00033618" w:rsidP="00033618">
      <w:pPr>
        <w:pStyle w:val="VDWCbody"/>
      </w:pPr>
      <w:r w:rsidRPr="00AD1560">
        <w:rPr>
          <w:b/>
          <w:bCs/>
        </w:rPr>
        <w:t>ISSN</w:t>
      </w:r>
      <w:r w:rsidRPr="00AD1560">
        <w:t xml:space="preserve"> </w:t>
      </w:r>
      <w:r w:rsidR="00B97A75" w:rsidRPr="00AD1560">
        <w:t>2653-6161</w:t>
      </w:r>
      <w:r w:rsidRPr="00AD1560">
        <w:t xml:space="preserve"> – </w:t>
      </w:r>
      <w:r w:rsidRPr="00AD1560">
        <w:rPr>
          <w:b/>
          <w:bCs/>
        </w:rPr>
        <w:t>Online (pdf/word)</w:t>
      </w:r>
    </w:p>
    <w:p w14:paraId="1EB9F617" w14:textId="18C9A30C" w:rsidR="00033618" w:rsidRPr="00AD1560" w:rsidRDefault="00033618" w:rsidP="00033618">
      <w:pPr>
        <w:pStyle w:val="VDWCbody"/>
      </w:pPr>
      <w:r w:rsidRPr="00AD1560">
        <w:t xml:space="preserve">Published </w:t>
      </w:r>
      <w:r w:rsidR="00960352" w:rsidRPr="00AD1560">
        <w:t>October</w:t>
      </w:r>
      <w:r w:rsidRPr="00AD1560">
        <w:t xml:space="preserve"> 2022</w:t>
      </w:r>
    </w:p>
    <w:p w14:paraId="5F22809C" w14:textId="77777777" w:rsidR="00033618" w:rsidRPr="00AD1560" w:rsidRDefault="00033618" w:rsidP="00960352">
      <w:pPr>
        <w:pStyle w:val="VDWCbodynospace"/>
        <w:rPr>
          <w:b/>
          <w:bCs/>
        </w:rPr>
      </w:pPr>
      <w:r w:rsidRPr="00AD1560">
        <w:rPr>
          <w:b/>
          <w:bCs/>
        </w:rPr>
        <w:t>Victorian Disability Worker Commission</w:t>
      </w:r>
    </w:p>
    <w:p w14:paraId="49ACB99D" w14:textId="77777777" w:rsidR="00033618" w:rsidRPr="00AD1560" w:rsidRDefault="00033618" w:rsidP="00033618">
      <w:pPr>
        <w:pStyle w:val="VDWCbodynospace"/>
      </w:pPr>
      <w:r w:rsidRPr="00AD1560">
        <w:t>Level 20, 570 Bourke Street</w:t>
      </w:r>
    </w:p>
    <w:p w14:paraId="025986D1" w14:textId="77777777" w:rsidR="00033618" w:rsidRPr="00AD1560" w:rsidRDefault="00033618" w:rsidP="00033618">
      <w:pPr>
        <w:pStyle w:val="VDWCbodynospace"/>
      </w:pPr>
      <w:r w:rsidRPr="00AD1560">
        <w:t>Melbourne Victoria 3000</w:t>
      </w:r>
    </w:p>
    <w:p w14:paraId="3F95BE0B" w14:textId="77777777" w:rsidR="00033618" w:rsidRPr="00AD1560" w:rsidRDefault="00033618" w:rsidP="00033618">
      <w:pPr>
        <w:pStyle w:val="VDWCbodynospace"/>
      </w:pPr>
      <w:r w:rsidRPr="00AD1560">
        <w:t>Phone: 1800 497 132</w:t>
      </w:r>
    </w:p>
    <w:p w14:paraId="6EA875BA" w14:textId="77777777" w:rsidR="00033618" w:rsidRPr="00AD1560" w:rsidRDefault="00033618" w:rsidP="00033618">
      <w:pPr>
        <w:pStyle w:val="VDWCbodynospace"/>
      </w:pPr>
      <w:r w:rsidRPr="00AD1560">
        <w:t>Email: info@vdwc.vic.gov.au</w:t>
      </w:r>
    </w:p>
    <w:p w14:paraId="4FB94739" w14:textId="77777777" w:rsidR="009A2530" w:rsidRPr="00AD1560" w:rsidRDefault="00033618" w:rsidP="00033618">
      <w:pPr>
        <w:pStyle w:val="VDWCbody"/>
      </w:pPr>
      <w:r w:rsidRPr="00AD1560">
        <w:t>Web: vdwc.vic.gov.au</w:t>
      </w:r>
    </w:p>
    <w:p w14:paraId="4C08C715" w14:textId="6BF4A7F7" w:rsidR="00033618" w:rsidRPr="00AD1560" w:rsidRDefault="00033618" w:rsidP="00B97A75">
      <w:pPr>
        <w:pStyle w:val="VDWCbody"/>
      </w:pPr>
      <w:bookmarkStart w:id="2" w:name="_Responsible_bodies_declaration"/>
      <w:bookmarkEnd w:id="2"/>
      <w:r w:rsidRPr="00AD1560">
        <w:br w:type="page"/>
      </w:r>
    </w:p>
    <w:p w14:paraId="07CA5B2E" w14:textId="77777777" w:rsidR="00AC0C3B" w:rsidRPr="00AD1560" w:rsidRDefault="00AC0C3B" w:rsidP="00711B0C">
      <w:pPr>
        <w:pStyle w:val="VDWCTOCheadingreport"/>
      </w:pPr>
      <w:r w:rsidRPr="00AD1560">
        <w:lastRenderedPageBreak/>
        <w:t>Contents</w:t>
      </w:r>
    </w:p>
    <w:p w14:paraId="109AD35E" w14:textId="588AC9ED" w:rsidR="0088086A" w:rsidRDefault="00E15DA9">
      <w:pPr>
        <w:pStyle w:val="TOC1"/>
        <w:rPr>
          <w:rFonts w:asciiTheme="minorHAnsi" w:eastAsiaTheme="minorEastAsia" w:hAnsiTheme="minorHAnsi" w:cstheme="minorBidi"/>
          <w:b w:val="0"/>
          <w:sz w:val="24"/>
          <w:szCs w:val="24"/>
          <w:lang w:eastAsia="en-GB"/>
        </w:rPr>
      </w:pPr>
      <w:r w:rsidRPr="00AD1560">
        <w:rPr>
          <w:noProof w:val="0"/>
        </w:rPr>
        <w:fldChar w:fldCharType="begin"/>
      </w:r>
      <w:r w:rsidRPr="00AD1560">
        <w:rPr>
          <w:noProof w:val="0"/>
        </w:rPr>
        <w:instrText xml:space="preserve"> TOC \h \z \t "Heading 1,1,Heading 2,2" </w:instrText>
      </w:r>
      <w:r w:rsidRPr="00AD1560">
        <w:rPr>
          <w:noProof w:val="0"/>
        </w:rPr>
        <w:fldChar w:fldCharType="separate"/>
      </w:r>
      <w:hyperlink w:anchor="_Toc115983176" w:history="1">
        <w:r w:rsidR="0088086A" w:rsidRPr="001217FA">
          <w:rPr>
            <w:rStyle w:val="Hyperlink"/>
            <w:rFonts w:eastAsia="Times"/>
          </w:rPr>
          <w:t>Message from Commissioner and Board Chairperson</w:t>
        </w:r>
        <w:r w:rsidR="0088086A">
          <w:rPr>
            <w:webHidden/>
          </w:rPr>
          <w:tab/>
        </w:r>
        <w:r w:rsidR="0088086A">
          <w:rPr>
            <w:webHidden/>
          </w:rPr>
          <w:fldChar w:fldCharType="begin"/>
        </w:r>
        <w:r w:rsidR="0088086A">
          <w:rPr>
            <w:webHidden/>
          </w:rPr>
          <w:instrText xml:space="preserve"> PAGEREF _Toc115983176 \h </w:instrText>
        </w:r>
        <w:r w:rsidR="0088086A">
          <w:rPr>
            <w:webHidden/>
          </w:rPr>
        </w:r>
        <w:r w:rsidR="0088086A">
          <w:rPr>
            <w:webHidden/>
          </w:rPr>
          <w:fldChar w:fldCharType="separate"/>
        </w:r>
        <w:r w:rsidR="0088086A">
          <w:rPr>
            <w:webHidden/>
          </w:rPr>
          <w:t>4</w:t>
        </w:r>
        <w:r w:rsidR="0088086A">
          <w:rPr>
            <w:webHidden/>
          </w:rPr>
          <w:fldChar w:fldCharType="end"/>
        </w:r>
      </w:hyperlink>
    </w:p>
    <w:p w14:paraId="1EAB71FA" w14:textId="73E3C14C" w:rsidR="0088086A" w:rsidRDefault="00DB73FF">
      <w:pPr>
        <w:pStyle w:val="TOC1"/>
        <w:rPr>
          <w:rFonts w:asciiTheme="minorHAnsi" w:eastAsiaTheme="minorEastAsia" w:hAnsiTheme="minorHAnsi" w:cstheme="minorBidi"/>
          <w:b w:val="0"/>
          <w:sz w:val="24"/>
          <w:szCs w:val="24"/>
          <w:lang w:eastAsia="en-GB"/>
        </w:rPr>
      </w:pPr>
      <w:hyperlink w:anchor="_Toc115983177" w:history="1">
        <w:r w:rsidR="0088086A" w:rsidRPr="001217FA">
          <w:rPr>
            <w:rStyle w:val="Hyperlink"/>
          </w:rPr>
          <w:t>About us</w:t>
        </w:r>
        <w:r w:rsidR="0088086A">
          <w:rPr>
            <w:webHidden/>
          </w:rPr>
          <w:tab/>
        </w:r>
        <w:r w:rsidR="0088086A">
          <w:rPr>
            <w:webHidden/>
          </w:rPr>
          <w:fldChar w:fldCharType="begin"/>
        </w:r>
        <w:r w:rsidR="0088086A">
          <w:rPr>
            <w:webHidden/>
          </w:rPr>
          <w:instrText xml:space="preserve"> PAGEREF _Toc115983177 \h </w:instrText>
        </w:r>
        <w:r w:rsidR="0088086A">
          <w:rPr>
            <w:webHidden/>
          </w:rPr>
        </w:r>
        <w:r w:rsidR="0088086A">
          <w:rPr>
            <w:webHidden/>
          </w:rPr>
          <w:fldChar w:fldCharType="separate"/>
        </w:r>
        <w:r w:rsidR="0088086A">
          <w:rPr>
            <w:webHidden/>
          </w:rPr>
          <w:t>5</w:t>
        </w:r>
        <w:r w:rsidR="0088086A">
          <w:rPr>
            <w:webHidden/>
          </w:rPr>
          <w:fldChar w:fldCharType="end"/>
        </w:r>
      </w:hyperlink>
    </w:p>
    <w:p w14:paraId="32403978" w14:textId="5E377EF7" w:rsidR="0088086A" w:rsidRDefault="00DB73FF">
      <w:pPr>
        <w:pStyle w:val="TOC2"/>
        <w:rPr>
          <w:rFonts w:asciiTheme="minorHAnsi" w:eastAsiaTheme="minorEastAsia" w:hAnsiTheme="minorHAnsi" w:cstheme="minorBidi"/>
          <w:sz w:val="24"/>
          <w:szCs w:val="24"/>
          <w:lang w:eastAsia="en-GB"/>
        </w:rPr>
      </w:pPr>
      <w:hyperlink w:anchor="_Toc115983178" w:history="1">
        <w:r w:rsidR="0088086A" w:rsidRPr="001217FA">
          <w:rPr>
            <w:rStyle w:val="Hyperlink"/>
            <w:rFonts w:eastAsia="Times"/>
          </w:rPr>
          <w:t>Our purpose</w:t>
        </w:r>
        <w:r w:rsidR="0088086A">
          <w:rPr>
            <w:webHidden/>
          </w:rPr>
          <w:tab/>
        </w:r>
        <w:r w:rsidR="0088086A">
          <w:rPr>
            <w:webHidden/>
          </w:rPr>
          <w:fldChar w:fldCharType="begin"/>
        </w:r>
        <w:r w:rsidR="0088086A">
          <w:rPr>
            <w:webHidden/>
          </w:rPr>
          <w:instrText xml:space="preserve"> PAGEREF _Toc115983178 \h </w:instrText>
        </w:r>
        <w:r w:rsidR="0088086A">
          <w:rPr>
            <w:webHidden/>
          </w:rPr>
        </w:r>
        <w:r w:rsidR="0088086A">
          <w:rPr>
            <w:webHidden/>
          </w:rPr>
          <w:fldChar w:fldCharType="separate"/>
        </w:r>
        <w:r w:rsidR="0088086A">
          <w:rPr>
            <w:webHidden/>
          </w:rPr>
          <w:t>5</w:t>
        </w:r>
        <w:r w:rsidR="0088086A">
          <w:rPr>
            <w:webHidden/>
          </w:rPr>
          <w:fldChar w:fldCharType="end"/>
        </w:r>
      </w:hyperlink>
    </w:p>
    <w:p w14:paraId="64E98C87" w14:textId="1FC911DA" w:rsidR="0088086A" w:rsidRDefault="00DB73FF">
      <w:pPr>
        <w:pStyle w:val="TOC2"/>
        <w:rPr>
          <w:rFonts w:asciiTheme="minorHAnsi" w:eastAsiaTheme="minorEastAsia" w:hAnsiTheme="minorHAnsi" w:cstheme="minorBidi"/>
          <w:sz w:val="24"/>
          <w:szCs w:val="24"/>
          <w:lang w:eastAsia="en-GB"/>
        </w:rPr>
      </w:pPr>
      <w:hyperlink w:anchor="_Toc115983179" w:history="1">
        <w:r w:rsidR="0088086A" w:rsidRPr="001217FA">
          <w:rPr>
            <w:rStyle w:val="Hyperlink"/>
          </w:rPr>
          <w:t>What we currently do</w:t>
        </w:r>
        <w:r w:rsidR="0088086A">
          <w:rPr>
            <w:webHidden/>
          </w:rPr>
          <w:tab/>
        </w:r>
        <w:r w:rsidR="0088086A">
          <w:rPr>
            <w:webHidden/>
          </w:rPr>
          <w:fldChar w:fldCharType="begin"/>
        </w:r>
        <w:r w:rsidR="0088086A">
          <w:rPr>
            <w:webHidden/>
          </w:rPr>
          <w:instrText xml:space="preserve"> PAGEREF _Toc115983179 \h </w:instrText>
        </w:r>
        <w:r w:rsidR="0088086A">
          <w:rPr>
            <w:webHidden/>
          </w:rPr>
        </w:r>
        <w:r w:rsidR="0088086A">
          <w:rPr>
            <w:webHidden/>
          </w:rPr>
          <w:fldChar w:fldCharType="separate"/>
        </w:r>
        <w:r w:rsidR="0088086A">
          <w:rPr>
            <w:webHidden/>
          </w:rPr>
          <w:t>5</w:t>
        </w:r>
        <w:r w:rsidR="0088086A">
          <w:rPr>
            <w:webHidden/>
          </w:rPr>
          <w:fldChar w:fldCharType="end"/>
        </w:r>
      </w:hyperlink>
    </w:p>
    <w:p w14:paraId="6EC1125F" w14:textId="16F9DFC5" w:rsidR="0088086A" w:rsidRDefault="00DB73FF">
      <w:pPr>
        <w:pStyle w:val="TOC2"/>
        <w:rPr>
          <w:rFonts w:asciiTheme="minorHAnsi" w:eastAsiaTheme="minorEastAsia" w:hAnsiTheme="minorHAnsi" w:cstheme="minorBidi"/>
          <w:sz w:val="24"/>
          <w:szCs w:val="24"/>
          <w:lang w:eastAsia="en-GB"/>
        </w:rPr>
      </w:pPr>
      <w:hyperlink w:anchor="_Toc115983180" w:history="1">
        <w:r w:rsidR="0088086A" w:rsidRPr="001217FA">
          <w:rPr>
            <w:rStyle w:val="Hyperlink"/>
          </w:rPr>
          <w:t>Our operating environment</w:t>
        </w:r>
        <w:r w:rsidR="0088086A">
          <w:rPr>
            <w:webHidden/>
          </w:rPr>
          <w:tab/>
        </w:r>
        <w:r w:rsidR="0088086A">
          <w:rPr>
            <w:webHidden/>
          </w:rPr>
          <w:fldChar w:fldCharType="begin"/>
        </w:r>
        <w:r w:rsidR="0088086A">
          <w:rPr>
            <w:webHidden/>
          </w:rPr>
          <w:instrText xml:space="preserve"> PAGEREF _Toc115983180 \h </w:instrText>
        </w:r>
        <w:r w:rsidR="0088086A">
          <w:rPr>
            <w:webHidden/>
          </w:rPr>
        </w:r>
        <w:r w:rsidR="0088086A">
          <w:rPr>
            <w:webHidden/>
          </w:rPr>
          <w:fldChar w:fldCharType="separate"/>
        </w:r>
        <w:r w:rsidR="0088086A">
          <w:rPr>
            <w:webHidden/>
          </w:rPr>
          <w:t>6</w:t>
        </w:r>
        <w:r w:rsidR="0088086A">
          <w:rPr>
            <w:webHidden/>
          </w:rPr>
          <w:fldChar w:fldCharType="end"/>
        </w:r>
      </w:hyperlink>
    </w:p>
    <w:p w14:paraId="7FEAC5F6" w14:textId="37F790CF" w:rsidR="0088086A" w:rsidRDefault="00DB73FF">
      <w:pPr>
        <w:pStyle w:val="TOC1"/>
        <w:rPr>
          <w:rFonts w:asciiTheme="minorHAnsi" w:eastAsiaTheme="minorEastAsia" w:hAnsiTheme="minorHAnsi" w:cstheme="minorBidi"/>
          <w:b w:val="0"/>
          <w:sz w:val="24"/>
          <w:szCs w:val="24"/>
          <w:lang w:eastAsia="en-GB"/>
        </w:rPr>
      </w:pPr>
      <w:hyperlink w:anchor="_Toc115983181" w:history="1">
        <w:r w:rsidR="0088086A" w:rsidRPr="001217FA">
          <w:rPr>
            <w:rStyle w:val="Hyperlink"/>
          </w:rPr>
          <w:t>Our values</w:t>
        </w:r>
        <w:r w:rsidR="0088086A">
          <w:rPr>
            <w:webHidden/>
          </w:rPr>
          <w:tab/>
        </w:r>
        <w:r w:rsidR="0088086A">
          <w:rPr>
            <w:webHidden/>
          </w:rPr>
          <w:fldChar w:fldCharType="begin"/>
        </w:r>
        <w:r w:rsidR="0088086A">
          <w:rPr>
            <w:webHidden/>
          </w:rPr>
          <w:instrText xml:space="preserve"> PAGEREF _Toc115983181 \h </w:instrText>
        </w:r>
        <w:r w:rsidR="0088086A">
          <w:rPr>
            <w:webHidden/>
          </w:rPr>
        </w:r>
        <w:r w:rsidR="0088086A">
          <w:rPr>
            <w:webHidden/>
          </w:rPr>
          <w:fldChar w:fldCharType="separate"/>
        </w:r>
        <w:r w:rsidR="0088086A">
          <w:rPr>
            <w:webHidden/>
          </w:rPr>
          <w:t>8</w:t>
        </w:r>
        <w:r w:rsidR="0088086A">
          <w:rPr>
            <w:webHidden/>
          </w:rPr>
          <w:fldChar w:fldCharType="end"/>
        </w:r>
      </w:hyperlink>
    </w:p>
    <w:p w14:paraId="6CB96D85" w14:textId="2BE021D0" w:rsidR="0088086A" w:rsidRDefault="00DB73FF">
      <w:pPr>
        <w:pStyle w:val="TOC2"/>
        <w:rPr>
          <w:rFonts w:asciiTheme="minorHAnsi" w:eastAsiaTheme="minorEastAsia" w:hAnsiTheme="minorHAnsi" w:cstheme="minorBidi"/>
          <w:sz w:val="24"/>
          <w:szCs w:val="24"/>
          <w:lang w:eastAsia="en-GB"/>
        </w:rPr>
      </w:pPr>
      <w:hyperlink w:anchor="_Toc115983182" w:history="1">
        <w:r w:rsidR="0088086A" w:rsidRPr="001217FA">
          <w:rPr>
            <w:rStyle w:val="Hyperlink"/>
          </w:rPr>
          <w:t>Diversity and inclusion</w:t>
        </w:r>
        <w:r w:rsidR="0088086A">
          <w:rPr>
            <w:webHidden/>
          </w:rPr>
          <w:tab/>
        </w:r>
        <w:r w:rsidR="0088086A">
          <w:rPr>
            <w:webHidden/>
          </w:rPr>
          <w:fldChar w:fldCharType="begin"/>
        </w:r>
        <w:r w:rsidR="0088086A">
          <w:rPr>
            <w:webHidden/>
          </w:rPr>
          <w:instrText xml:space="preserve"> PAGEREF _Toc115983182 \h </w:instrText>
        </w:r>
        <w:r w:rsidR="0088086A">
          <w:rPr>
            <w:webHidden/>
          </w:rPr>
        </w:r>
        <w:r w:rsidR="0088086A">
          <w:rPr>
            <w:webHidden/>
          </w:rPr>
          <w:fldChar w:fldCharType="separate"/>
        </w:r>
        <w:r w:rsidR="0088086A">
          <w:rPr>
            <w:webHidden/>
          </w:rPr>
          <w:t>8</w:t>
        </w:r>
        <w:r w:rsidR="0088086A">
          <w:rPr>
            <w:webHidden/>
          </w:rPr>
          <w:fldChar w:fldCharType="end"/>
        </w:r>
      </w:hyperlink>
    </w:p>
    <w:p w14:paraId="20AB6A99" w14:textId="71BE8FAA" w:rsidR="0088086A" w:rsidRDefault="00DB73FF">
      <w:pPr>
        <w:pStyle w:val="TOC2"/>
        <w:rPr>
          <w:rFonts w:asciiTheme="minorHAnsi" w:eastAsiaTheme="minorEastAsia" w:hAnsiTheme="minorHAnsi" w:cstheme="minorBidi"/>
          <w:sz w:val="24"/>
          <w:szCs w:val="24"/>
          <w:lang w:eastAsia="en-GB"/>
        </w:rPr>
      </w:pPr>
      <w:hyperlink w:anchor="_Toc115983183" w:history="1">
        <w:r w:rsidR="0088086A" w:rsidRPr="001217FA">
          <w:rPr>
            <w:rStyle w:val="Hyperlink"/>
          </w:rPr>
          <w:t>Independent and fair</w:t>
        </w:r>
        <w:r w:rsidR="0088086A">
          <w:rPr>
            <w:webHidden/>
          </w:rPr>
          <w:tab/>
        </w:r>
        <w:r w:rsidR="0088086A">
          <w:rPr>
            <w:webHidden/>
          </w:rPr>
          <w:fldChar w:fldCharType="begin"/>
        </w:r>
        <w:r w:rsidR="0088086A">
          <w:rPr>
            <w:webHidden/>
          </w:rPr>
          <w:instrText xml:space="preserve"> PAGEREF _Toc115983183 \h </w:instrText>
        </w:r>
        <w:r w:rsidR="0088086A">
          <w:rPr>
            <w:webHidden/>
          </w:rPr>
        </w:r>
        <w:r w:rsidR="0088086A">
          <w:rPr>
            <w:webHidden/>
          </w:rPr>
          <w:fldChar w:fldCharType="separate"/>
        </w:r>
        <w:r w:rsidR="0088086A">
          <w:rPr>
            <w:webHidden/>
          </w:rPr>
          <w:t>8</w:t>
        </w:r>
        <w:r w:rsidR="0088086A">
          <w:rPr>
            <w:webHidden/>
          </w:rPr>
          <w:fldChar w:fldCharType="end"/>
        </w:r>
      </w:hyperlink>
    </w:p>
    <w:p w14:paraId="6B253CFB" w14:textId="3257FD30" w:rsidR="0088086A" w:rsidRDefault="00DB73FF">
      <w:pPr>
        <w:pStyle w:val="TOC2"/>
        <w:rPr>
          <w:rFonts w:asciiTheme="minorHAnsi" w:eastAsiaTheme="minorEastAsia" w:hAnsiTheme="minorHAnsi" w:cstheme="minorBidi"/>
          <w:sz w:val="24"/>
          <w:szCs w:val="24"/>
          <w:lang w:eastAsia="en-GB"/>
        </w:rPr>
      </w:pPr>
      <w:hyperlink w:anchor="_Toc115983184" w:history="1">
        <w:r w:rsidR="0088086A" w:rsidRPr="001217FA">
          <w:rPr>
            <w:rStyle w:val="Hyperlink"/>
          </w:rPr>
          <w:t>Fearless and accountable</w:t>
        </w:r>
        <w:r w:rsidR="0088086A">
          <w:rPr>
            <w:webHidden/>
          </w:rPr>
          <w:tab/>
        </w:r>
        <w:r w:rsidR="0088086A">
          <w:rPr>
            <w:webHidden/>
          </w:rPr>
          <w:fldChar w:fldCharType="begin"/>
        </w:r>
        <w:r w:rsidR="0088086A">
          <w:rPr>
            <w:webHidden/>
          </w:rPr>
          <w:instrText xml:space="preserve"> PAGEREF _Toc115983184 \h </w:instrText>
        </w:r>
        <w:r w:rsidR="0088086A">
          <w:rPr>
            <w:webHidden/>
          </w:rPr>
        </w:r>
        <w:r w:rsidR="0088086A">
          <w:rPr>
            <w:webHidden/>
          </w:rPr>
          <w:fldChar w:fldCharType="separate"/>
        </w:r>
        <w:r w:rsidR="0088086A">
          <w:rPr>
            <w:webHidden/>
          </w:rPr>
          <w:t>8</w:t>
        </w:r>
        <w:r w:rsidR="0088086A">
          <w:rPr>
            <w:webHidden/>
          </w:rPr>
          <w:fldChar w:fldCharType="end"/>
        </w:r>
      </w:hyperlink>
    </w:p>
    <w:p w14:paraId="0EA15B61" w14:textId="58E8B312" w:rsidR="0088086A" w:rsidRDefault="00DB73FF">
      <w:pPr>
        <w:pStyle w:val="TOC2"/>
        <w:rPr>
          <w:rFonts w:asciiTheme="minorHAnsi" w:eastAsiaTheme="minorEastAsia" w:hAnsiTheme="minorHAnsi" w:cstheme="minorBidi"/>
          <w:sz w:val="24"/>
          <w:szCs w:val="24"/>
          <w:lang w:eastAsia="en-GB"/>
        </w:rPr>
      </w:pPr>
      <w:hyperlink w:anchor="_Toc115983185" w:history="1">
        <w:r w:rsidR="0088086A" w:rsidRPr="001217FA">
          <w:rPr>
            <w:rStyle w:val="Hyperlink"/>
          </w:rPr>
          <w:t>Trust and respect</w:t>
        </w:r>
        <w:r w:rsidR="0088086A">
          <w:rPr>
            <w:webHidden/>
          </w:rPr>
          <w:tab/>
        </w:r>
        <w:r w:rsidR="0088086A">
          <w:rPr>
            <w:webHidden/>
          </w:rPr>
          <w:fldChar w:fldCharType="begin"/>
        </w:r>
        <w:r w:rsidR="0088086A">
          <w:rPr>
            <w:webHidden/>
          </w:rPr>
          <w:instrText xml:space="preserve"> PAGEREF _Toc115983185 \h </w:instrText>
        </w:r>
        <w:r w:rsidR="0088086A">
          <w:rPr>
            <w:webHidden/>
          </w:rPr>
        </w:r>
        <w:r w:rsidR="0088086A">
          <w:rPr>
            <w:webHidden/>
          </w:rPr>
          <w:fldChar w:fldCharType="separate"/>
        </w:r>
        <w:r w:rsidR="0088086A">
          <w:rPr>
            <w:webHidden/>
          </w:rPr>
          <w:t>8</w:t>
        </w:r>
        <w:r w:rsidR="0088086A">
          <w:rPr>
            <w:webHidden/>
          </w:rPr>
          <w:fldChar w:fldCharType="end"/>
        </w:r>
      </w:hyperlink>
    </w:p>
    <w:p w14:paraId="5F3B44D2" w14:textId="2D9C634A" w:rsidR="0088086A" w:rsidRDefault="00DB73FF">
      <w:pPr>
        <w:pStyle w:val="TOC2"/>
        <w:rPr>
          <w:rFonts w:asciiTheme="minorHAnsi" w:eastAsiaTheme="minorEastAsia" w:hAnsiTheme="minorHAnsi" w:cstheme="minorBidi"/>
          <w:sz w:val="24"/>
          <w:szCs w:val="24"/>
          <w:lang w:eastAsia="en-GB"/>
        </w:rPr>
      </w:pPr>
      <w:hyperlink w:anchor="_Toc115983186" w:history="1">
        <w:r w:rsidR="0088086A" w:rsidRPr="001217FA">
          <w:rPr>
            <w:rStyle w:val="Hyperlink"/>
          </w:rPr>
          <w:t>Empathy and dignity</w:t>
        </w:r>
        <w:r w:rsidR="0088086A">
          <w:rPr>
            <w:webHidden/>
          </w:rPr>
          <w:tab/>
        </w:r>
        <w:r w:rsidR="0088086A">
          <w:rPr>
            <w:webHidden/>
          </w:rPr>
          <w:fldChar w:fldCharType="begin"/>
        </w:r>
        <w:r w:rsidR="0088086A">
          <w:rPr>
            <w:webHidden/>
          </w:rPr>
          <w:instrText xml:space="preserve"> PAGEREF _Toc115983186 \h </w:instrText>
        </w:r>
        <w:r w:rsidR="0088086A">
          <w:rPr>
            <w:webHidden/>
          </w:rPr>
        </w:r>
        <w:r w:rsidR="0088086A">
          <w:rPr>
            <w:webHidden/>
          </w:rPr>
          <w:fldChar w:fldCharType="separate"/>
        </w:r>
        <w:r w:rsidR="0088086A">
          <w:rPr>
            <w:webHidden/>
          </w:rPr>
          <w:t>8</w:t>
        </w:r>
        <w:r w:rsidR="0088086A">
          <w:rPr>
            <w:webHidden/>
          </w:rPr>
          <w:fldChar w:fldCharType="end"/>
        </w:r>
      </w:hyperlink>
    </w:p>
    <w:p w14:paraId="7FCC090C" w14:textId="01C448F7" w:rsidR="0088086A" w:rsidRDefault="00DB73FF">
      <w:pPr>
        <w:pStyle w:val="TOC1"/>
        <w:rPr>
          <w:rFonts w:asciiTheme="minorHAnsi" w:eastAsiaTheme="minorEastAsia" w:hAnsiTheme="minorHAnsi" w:cstheme="minorBidi"/>
          <w:b w:val="0"/>
          <w:sz w:val="24"/>
          <w:szCs w:val="24"/>
          <w:lang w:eastAsia="en-GB"/>
        </w:rPr>
      </w:pPr>
      <w:hyperlink w:anchor="_Toc115983187" w:history="1">
        <w:r w:rsidR="0088086A" w:rsidRPr="001217FA">
          <w:rPr>
            <w:rStyle w:val="Hyperlink"/>
          </w:rPr>
          <w:t>Our Scheme strategic plan 2022 to 2024</w:t>
        </w:r>
        <w:r w:rsidR="0088086A">
          <w:rPr>
            <w:webHidden/>
          </w:rPr>
          <w:tab/>
        </w:r>
        <w:r w:rsidR="0088086A">
          <w:rPr>
            <w:webHidden/>
          </w:rPr>
          <w:fldChar w:fldCharType="begin"/>
        </w:r>
        <w:r w:rsidR="0088086A">
          <w:rPr>
            <w:webHidden/>
          </w:rPr>
          <w:instrText xml:space="preserve"> PAGEREF _Toc115983187 \h </w:instrText>
        </w:r>
        <w:r w:rsidR="0088086A">
          <w:rPr>
            <w:webHidden/>
          </w:rPr>
        </w:r>
        <w:r w:rsidR="0088086A">
          <w:rPr>
            <w:webHidden/>
          </w:rPr>
          <w:fldChar w:fldCharType="separate"/>
        </w:r>
        <w:r w:rsidR="0088086A">
          <w:rPr>
            <w:webHidden/>
          </w:rPr>
          <w:t>9</w:t>
        </w:r>
        <w:r w:rsidR="0088086A">
          <w:rPr>
            <w:webHidden/>
          </w:rPr>
          <w:fldChar w:fldCharType="end"/>
        </w:r>
      </w:hyperlink>
    </w:p>
    <w:p w14:paraId="51840C9E" w14:textId="1D562E65" w:rsidR="0088086A" w:rsidRDefault="00DB73FF">
      <w:pPr>
        <w:pStyle w:val="TOC2"/>
        <w:rPr>
          <w:rFonts w:asciiTheme="minorHAnsi" w:eastAsiaTheme="minorEastAsia" w:hAnsiTheme="minorHAnsi" w:cstheme="minorBidi"/>
          <w:sz w:val="24"/>
          <w:szCs w:val="24"/>
          <w:lang w:eastAsia="en-GB"/>
        </w:rPr>
      </w:pPr>
      <w:hyperlink w:anchor="_Toc115983188" w:history="1">
        <w:r w:rsidR="0088086A" w:rsidRPr="001217FA">
          <w:rPr>
            <w:rStyle w:val="Hyperlink"/>
          </w:rPr>
          <w:t>Our maturity model</w:t>
        </w:r>
        <w:r w:rsidR="0088086A">
          <w:rPr>
            <w:webHidden/>
          </w:rPr>
          <w:tab/>
        </w:r>
        <w:r w:rsidR="0088086A">
          <w:rPr>
            <w:webHidden/>
          </w:rPr>
          <w:fldChar w:fldCharType="begin"/>
        </w:r>
        <w:r w:rsidR="0088086A">
          <w:rPr>
            <w:webHidden/>
          </w:rPr>
          <w:instrText xml:space="preserve"> PAGEREF _Toc115983188 \h </w:instrText>
        </w:r>
        <w:r w:rsidR="0088086A">
          <w:rPr>
            <w:webHidden/>
          </w:rPr>
        </w:r>
        <w:r w:rsidR="0088086A">
          <w:rPr>
            <w:webHidden/>
          </w:rPr>
          <w:fldChar w:fldCharType="separate"/>
        </w:r>
        <w:r w:rsidR="0088086A">
          <w:rPr>
            <w:webHidden/>
          </w:rPr>
          <w:t>9</w:t>
        </w:r>
        <w:r w:rsidR="0088086A">
          <w:rPr>
            <w:webHidden/>
          </w:rPr>
          <w:fldChar w:fldCharType="end"/>
        </w:r>
      </w:hyperlink>
    </w:p>
    <w:p w14:paraId="51E4DB98" w14:textId="641758D1" w:rsidR="0088086A" w:rsidRDefault="00DB73FF">
      <w:pPr>
        <w:pStyle w:val="TOC2"/>
        <w:rPr>
          <w:rFonts w:asciiTheme="minorHAnsi" w:eastAsiaTheme="minorEastAsia" w:hAnsiTheme="minorHAnsi" w:cstheme="minorBidi"/>
          <w:sz w:val="24"/>
          <w:szCs w:val="24"/>
          <w:lang w:eastAsia="en-GB"/>
        </w:rPr>
      </w:pPr>
      <w:hyperlink w:anchor="_Toc115983189" w:history="1">
        <w:r w:rsidR="0088086A" w:rsidRPr="001217FA">
          <w:rPr>
            <w:rStyle w:val="Hyperlink"/>
          </w:rPr>
          <w:t>Scheme strategic plan 2022 to 2024</w:t>
        </w:r>
        <w:r w:rsidR="0088086A">
          <w:rPr>
            <w:webHidden/>
          </w:rPr>
          <w:tab/>
        </w:r>
        <w:r w:rsidR="0088086A">
          <w:rPr>
            <w:webHidden/>
          </w:rPr>
          <w:fldChar w:fldCharType="begin"/>
        </w:r>
        <w:r w:rsidR="0088086A">
          <w:rPr>
            <w:webHidden/>
          </w:rPr>
          <w:instrText xml:space="preserve"> PAGEREF _Toc115983189 \h </w:instrText>
        </w:r>
        <w:r w:rsidR="0088086A">
          <w:rPr>
            <w:webHidden/>
          </w:rPr>
        </w:r>
        <w:r w:rsidR="0088086A">
          <w:rPr>
            <w:webHidden/>
          </w:rPr>
          <w:fldChar w:fldCharType="separate"/>
        </w:r>
        <w:r w:rsidR="0088086A">
          <w:rPr>
            <w:webHidden/>
          </w:rPr>
          <w:t>9</w:t>
        </w:r>
        <w:r w:rsidR="0088086A">
          <w:rPr>
            <w:webHidden/>
          </w:rPr>
          <w:fldChar w:fldCharType="end"/>
        </w:r>
      </w:hyperlink>
    </w:p>
    <w:p w14:paraId="53C93A06" w14:textId="48205880" w:rsidR="0088086A" w:rsidRDefault="00DB73FF">
      <w:pPr>
        <w:pStyle w:val="TOC1"/>
        <w:rPr>
          <w:rFonts w:asciiTheme="minorHAnsi" w:eastAsiaTheme="minorEastAsia" w:hAnsiTheme="minorHAnsi" w:cstheme="minorBidi"/>
          <w:b w:val="0"/>
          <w:sz w:val="24"/>
          <w:szCs w:val="24"/>
          <w:lang w:eastAsia="en-GB"/>
        </w:rPr>
      </w:pPr>
      <w:hyperlink w:anchor="_Toc115983190" w:history="1">
        <w:r w:rsidR="0088086A" w:rsidRPr="001217FA">
          <w:rPr>
            <w:rStyle w:val="Hyperlink"/>
          </w:rPr>
          <w:t>Our focus for 2022 to 2023</w:t>
        </w:r>
        <w:r w:rsidR="0088086A">
          <w:rPr>
            <w:webHidden/>
          </w:rPr>
          <w:tab/>
        </w:r>
        <w:r w:rsidR="0088086A">
          <w:rPr>
            <w:webHidden/>
          </w:rPr>
          <w:fldChar w:fldCharType="begin"/>
        </w:r>
        <w:r w:rsidR="0088086A">
          <w:rPr>
            <w:webHidden/>
          </w:rPr>
          <w:instrText xml:space="preserve"> PAGEREF _Toc115983190 \h </w:instrText>
        </w:r>
        <w:r w:rsidR="0088086A">
          <w:rPr>
            <w:webHidden/>
          </w:rPr>
        </w:r>
        <w:r w:rsidR="0088086A">
          <w:rPr>
            <w:webHidden/>
          </w:rPr>
          <w:fldChar w:fldCharType="separate"/>
        </w:r>
        <w:r w:rsidR="0088086A">
          <w:rPr>
            <w:webHidden/>
          </w:rPr>
          <w:t>11</w:t>
        </w:r>
        <w:r w:rsidR="0088086A">
          <w:rPr>
            <w:webHidden/>
          </w:rPr>
          <w:fldChar w:fldCharType="end"/>
        </w:r>
      </w:hyperlink>
    </w:p>
    <w:p w14:paraId="69C3CFEB" w14:textId="2D51AF28" w:rsidR="0088086A" w:rsidRDefault="00DB73FF">
      <w:pPr>
        <w:pStyle w:val="TOC1"/>
        <w:rPr>
          <w:rFonts w:asciiTheme="minorHAnsi" w:eastAsiaTheme="minorEastAsia" w:hAnsiTheme="minorHAnsi" w:cstheme="minorBidi"/>
          <w:b w:val="0"/>
          <w:sz w:val="24"/>
          <w:szCs w:val="24"/>
          <w:lang w:eastAsia="en-GB"/>
        </w:rPr>
      </w:pPr>
      <w:hyperlink w:anchor="_Toc115983191" w:history="1">
        <w:r w:rsidR="0088086A" w:rsidRPr="001217FA">
          <w:rPr>
            <w:rStyle w:val="Hyperlink"/>
          </w:rPr>
          <w:t>Tracking our performance</w:t>
        </w:r>
        <w:r w:rsidR="0088086A">
          <w:rPr>
            <w:webHidden/>
          </w:rPr>
          <w:tab/>
        </w:r>
        <w:r w:rsidR="0088086A">
          <w:rPr>
            <w:webHidden/>
          </w:rPr>
          <w:fldChar w:fldCharType="begin"/>
        </w:r>
        <w:r w:rsidR="0088086A">
          <w:rPr>
            <w:webHidden/>
          </w:rPr>
          <w:instrText xml:space="preserve"> PAGEREF _Toc115983191 \h </w:instrText>
        </w:r>
        <w:r w:rsidR="0088086A">
          <w:rPr>
            <w:webHidden/>
          </w:rPr>
        </w:r>
        <w:r w:rsidR="0088086A">
          <w:rPr>
            <w:webHidden/>
          </w:rPr>
          <w:fldChar w:fldCharType="separate"/>
        </w:r>
        <w:r w:rsidR="0088086A">
          <w:rPr>
            <w:webHidden/>
          </w:rPr>
          <w:t>14</w:t>
        </w:r>
        <w:r w:rsidR="0088086A">
          <w:rPr>
            <w:webHidden/>
          </w:rPr>
          <w:fldChar w:fldCharType="end"/>
        </w:r>
      </w:hyperlink>
    </w:p>
    <w:p w14:paraId="180C5F1D" w14:textId="24CCBCDD" w:rsidR="0088086A" w:rsidRDefault="00DB73FF">
      <w:pPr>
        <w:pStyle w:val="TOC2"/>
        <w:rPr>
          <w:rFonts w:asciiTheme="minorHAnsi" w:eastAsiaTheme="minorEastAsia" w:hAnsiTheme="minorHAnsi" w:cstheme="minorBidi"/>
          <w:sz w:val="24"/>
          <w:szCs w:val="24"/>
          <w:lang w:eastAsia="en-GB"/>
        </w:rPr>
      </w:pPr>
      <w:hyperlink w:anchor="_Toc115983192" w:history="1">
        <w:r w:rsidR="0088086A" w:rsidRPr="001217FA">
          <w:rPr>
            <w:rStyle w:val="Hyperlink"/>
          </w:rPr>
          <w:t>Monthly review of key performance indicators and measures</w:t>
        </w:r>
        <w:r w:rsidR="0088086A">
          <w:rPr>
            <w:webHidden/>
          </w:rPr>
          <w:tab/>
        </w:r>
        <w:r w:rsidR="0088086A">
          <w:rPr>
            <w:webHidden/>
          </w:rPr>
          <w:fldChar w:fldCharType="begin"/>
        </w:r>
        <w:r w:rsidR="0088086A">
          <w:rPr>
            <w:webHidden/>
          </w:rPr>
          <w:instrText xml:space="preserve"> PAGEREF _Toc115983192 \h </w:instrText>
        </w:r>
        <w:r w:rsidR="0088086A">
          <w:rPr>
            <w:webHidden/>
          </w:rPr>
        </w:r>
        <w:r w:rsidR="0088086A">
          <w:rPr>
            <w:webHidden/>
          </w:rPr>
          <w:fldChar w:fldCharType="separate"/>
        </w:r>
        <w:r w:rsidR="0088086A">
          <w:rPr>
            <w:webHidden/>
          </w:rPr>
          <w:t>14</w:t>
        </w:r>
        <w:r w:rsidR="0088086A">
          <w:rPr>
            <w:webHidden/>
          </w:rPr>
          <w:fldChar w:fldCharType="end"/>
        </w:r>
      </w:hyperlink>
    </w:p>
    <w:p w14:paraId="2DA98EDD" w14:textId="7F2449DD" w:rsidR="0088086A" w:rsidRDefault="00DB73FF">
      <w:pPr>
        <w:pStyle w:val="TOC2"/>
        <w:rPr>
          <w:rFonts w:asciiTheme="minorHAnsi" w:eastAsiaTheme="minorEastAsia" w:hAnsiTheme="minorHAnsi" w:cstheme="minorBidi"/>
          <w:sz w:val="24"/>
          <w:szCs w:val="24"/>
          <w:lang w:eastAsia="en-GB"/>
        </w:rPr>
      </w:pPr>
      <w:hyperlink w:anchor="_Toc115983193" w:history="1">
        <w:r w:rsidR="0088086A" w:rsidRPr="001217FA">
          <w:rPr>
            <w:rStyle w:val="Hyperlink"/>
          </w:rPr>
          <w:t>Performance reporting against our business plan</w:t>
        </w:r>
        <w:r w:rsidR="0088086A">
          <w:rPr>
            <w:webHidden/>
          </w:rPr>
          <w:tab/>
        </w:r>
        <w:r w:rsidR="0088086A">
          <w:rPr>
            <w:webHidden/>
          </w:rPr>
          <w:fldChar w:fldCharType="begin"/>
        </w:r>
        <w:r w:rsidR="0088086A">
          <w:rPr>
            <w:webHidden/>
          </w:rPr>
          <w:instrText xml:space="preserve"> PAGEREF _Toc115983193 \h </w:instrText>
        </w:r>
        <w:r w:rsidR="0088086A">
          <w:rPr>
            <w:webHidden/>
          </w:rPr>
        </w:r>
        <w:r w:rsidR="0088086A">
          <w:rPr>
            <w:webHidden/>
          </w:rPr>
          <w:fldChar w:fldCharType="separate"/>
        </w:r>
        <w:r w:rsidR="0088086A">
          <w:rPr>
            <w:webHidden/>
          </w:rPr>
          <w:t>14</w:t>
        </w:r>
        <w:r w:rsidR="0088086A">
          <w:rPr>
            <w:webHidden/>
          </w:rPr>
          <w:fldChar w:fldCharType="end"/>
        </w:r>
      </w:hyperlink>
    </w:p>
    <w:p w14:paraId="5CDA7805" w14:textId="64D4E441" w:rsidR="0088086A" w:rsidRDefault="00DB73FF">
      <w:pPr>
        <w:pStyle w:val="TOC2"/>
        <w:rPr>
          <w:rFonts w:asciiTheme="minorHAnsi" w:eastAsiaTheme="minorEastAsia" w:hAnsiTheme="minorHAnsi" w:cstheme="minorBidi"/>
          <w:sz w:val="24"/>
          <w:szCs w:val="24"/>
          <w:lang w:eastAsia="en-GB"/>
        </w:rPr>
      </w:pPr>
      <w:hyperlink w:anchor="_Toc115983194" w:history="1">
        <w:r w:rsidR="0088086A" w:rsidRPr="001217FA">
          <w:rPr>
            <w:rStyle w:val="Hyperlink"/>
          </w:rPr>
          <w:t>Yearly review of our impact</w:t>
        </w:r>
        <w:r w:rsidR="0088086A">
          <w:rPr>
            <w:webHidden/>
          </w:rPr>
          <w:tab/>
        </w:r>
        <w:r w:rsidR="0088086A">
          <w:rPr>
            <w:webHidden/>
          </w:rPr>
          <w:fldChar w:fldCharType="begin"/>
        </w:r>
        <w:r w:rsidR="0088086A">
          <w:rPr>
            <w:webHidden/>
          </w:rPr>
          <w:instrText xml:space="preserve"> PAGEREF _Toc115983194 \h </w:instrText>
        </w:r>
        <w:r w:rsidR="0088086A">
          <w:rPr>
            <w:webHidden/>
          </w:rPr>
        </w:r>
        <w:r w:rsidR="0088086A">
          <w:rPr>
            <w:webHidden/>
          </w:rPr>
          <w:fldChar w:fldCharType="separate"/>
        </w:r>
        <w:r w:rsidR="0088086A">
          <w:rPr>
            <w:webHidden/>
          </w:rPr>
          <w:t>14</w:t>
        </w:r>
        <w:r w:rsidR="0088086A">
          <w:rPr>
            <w:webHidden/>
          </w:rPr>
          <w:fldChar w:fldCharType="end"/>
        </w:r>
      </w:hyperlink>
    </w:p>
    <w:p w14:paraId="443B3973" w14:textId="2775A9AC" w:rsidR="0088086A" w:rsidRDefault="00DB73FF">
      <w:pPr>
        <w:pStyle w:val="TOC1"/>
        <w:rPr>
          <w:rFonts w:asciiTheme="minorHAnsi" w:eastAsiaTheme="minorEastAsia" w:hAnsiTheme="minorHAnsi" w:cstheme="minorBidi"/>
          <w:b w:val="0"/>
          <w:sz w:val="24"/>
          <w:szCs w:val="24"/>
          <w:lang w:eastAsia="en-GB"/>
        </w:rPr>
      </w:pPr>
      <w:hyperlink w:anchor="_Toc115983195" w:history="1">
        <w:r w:rsidR="0088086A" w:rsidRPr="001217FA">
          <w:rPr>
            <w:rStyle w:val="Hyperlink"/>
          </w:rPr>
          <w:t>Approach to risk management</w:t>
        </w:r>
        <w:r w:rsidR="0088086A">
          <w:rPr>
            <w:webHidden/>
          </w:rPr>
          <w:tab/>
        </w:r>
        <w:r w:rsidR="0088086A">
          <w:rPr>
            <w:webHidden/>
          </w:rPr>
          <w:fldChar w:fldCharType="begin"/>
        </w:r>
        <w:r w:rsidR="0088086A">
          <w:rPr>
            <w:webHidden/>
          </w:rPr>
          <w:instrText xml:space="preserve"> PAGEREF _Toc115983195 \h </w:instrText>
        </w:r>
        <w:r w:rsidR="0088086A">
          <w:rPr>
            <w:webHidden/>
          </w:rPr>
        </w:r>
        <w:r w:rsidR="0088086A">
          <w:rPr>
            <w:webHidden/>
          </w:rPr>
          <w:fldChar w:fldCharType="separate"/>
        </w:r>
        <w:r w:rsidR="0088086A">
          <w:rPr>
            <w:webHidden/>
          </w:rPr>
          <w:t>16</w:t>
        </w:r>
        <w:r w:rsidR="0088086A">
          <w:rPr>
            <w:webHidden/>
          </w:rPr>
          <w:fldChar w:fldCharType="end"/>
        </w:r>
      </w:hyperlink>
    </w:p>
    <w:p w14:paraId="2F17BE41" w14:textId="5AC62541" w:rsidR="0088086A" w:rsidRDefault="00DB73FF">
      <w:pPr>
        <w:pStyle w:val="TOC1"/>
        <w:rPr>
          <w:rFonts w:asciiTheme="minorHAnsi" w:eastAsiaTheme="minorEastAsia" w:hAnsiTheme="minorHAnsi" w:cstheme="minorBidi"/>
          <w:b w:val="0"/>
          <w:sz w:val="24"/>
          <w:szCs w:val="24"/>
          <w:lang w:eastAsia="en-GB"/>
        </w:rPr>
      </w:pPr>
      <w:hyperlink w:anchor="_Toc115983196" w:history="1">
        <w:r w:rsidR="0088086A" w:rsidRPr="001217FA">
          <w:rPr>
            <w:rStyle w:val="Hyperlink"/>
          </w:rPr>
          <w:t>Appendix 1: Image descriptions</w:t>
        </w:r>
        <w:r w:rsidR="0088086A">
          <w:rPr>
            <w:webHidden/>
          </w:rPr>
          <w:tab/>
        </w:r>
        <w:r w:rsidR="0088086A">
          <w:rPr>
            <w:webHidden/>
          </w:rPr>
          <w:fldChar w:fldCharType="begin"/>
        </w:r>
        <w:r w:rsidR="0088086A">
          <w:rPr>
            <w:webHidden/>
          </w:rPr>
          <w:instrText xml:space="preserve"> PAGEREF _Toc115983196 \h </w:instrText>
        </w:r>
        <w:r w:rsidR="0088086A">
          <w:rPr>
            <w:webHidden/>
          </w:rPr>
        </w:r>
        <w:r w:rsidR="0088086A">
          <w:rPr>
            <w:webHidden/>
          </w:rPr>
          <w:fldChar w:fldCharType="separate"/>
        </w:r>
        <w:r w:rsidR="0088086A">
          <w:rPr>
            <w:webHidden/>
          </w:rPr>
          <w:t>17</w:t>
        </w:r>
        <w:r w:rsidR="0088086A">
          <w:rPr>
            <w:webHidden/>
          </w:rPr>
          <w:fldChar w:fldCharType="end"/>
        </w:r>
      </w:hyperlink>
    </w:p>
    <w:p w14:paraId="6051FC02" w14:textId="3CEA9669" w:rsidR="003E2E12" w:rsidRPr="00AD1560" w:rsidRDefault="00E15DA9" w:rsidP="00213772">
      <w:pPr>
        <w:pStyle w:val="TOC2"/>
        <w:rPr>
          <w:noProof w:val="0"/>
        </w:rPr>
      </w:pPr>
      <w:r w:rsidRPr="00AD1560">
        <w:rPr>
          <w:noProof w:val="0"/>
        </w:rPr>
        <w:fldChar w:fldCharType="end"/>
      </w:r>
    </w:p>
    <w:p w14:paraId="443DB124" w14:textId="77777777" w:rsidR="00AC0C3B" w:rsidRPr="00AD1560" w:rsidRDefault="00AC0C3B" w:rsidP="00E91933">
      <w:pPr>
        <w:pStyle w:val="VDWCbody"/>
        <w:sectPr w:rsidR="00AC0C3B" w:rsidRPr="00AD1560" w:rsidSect="00C51B1C">
          <w:pgSz w:w="11906" w:h="16838"/>
          <w:pgMar w:top="1701" w:right="1304" w:bottom="1134" w:left="1304" w:header="454" w:footer="567" w:gutter="0"/>
          <w:cols w:space="720"/>
          <w:docGrid w:linePitch="360"/>
        </w:sectPr>
      </w:pPr>
    </w:p>
    <w:p w14:paraId="0DC198CF" w14:textId="2A8979D6" w:rsidR="00033618" w:rsidRPr="00AD1560" w:rsidRDefault="00B97A75" w:rsidP="007020B2">
      <w:pPr>
        <w:pStyle w:val="Heading1"/>
        <w:rPr>
          <w:rFonts w:eastAsia="Times"/>
        </w:rPr>
      </w:pPr>
      <w:bookmarkStart w:id="3" w:name="_Toc115983176"/>
      <w:r w:rsidRPr="00AD1560">
        <w:rPr>
          <w:rFonts w:eastAsia="Times"/>
        </w:rPr>
        <w:lastRenderedPageBreak/>
        <w:t>Message from Commissioner</w:t>
      </w:r>
      <w:r w:rsidR="008B788A" w:rsidRPr="00AD1560">
        <w:rPr>
          <w:rFonts w:eastAsia="Times"/>
        </w:rPr>
        <w:t xml:space="preserve"> and Board Chairperson</w:t>
      </w:r>
      <w:bookmarkEnd w:id="3"/>
    </w:p>
    <w:p w14:paraId="4927A646" w14:textId="19F23D4F" w:rsidR="008B788A" w:rsidRPr="00AD1560" w:rsidRDefault="008B788A" w:rsidP="002956FB">
      <w:pPr>
        <w:pStyle w:val="Introtext"/>
        <w:rPr>
          <w:lang w:eastAsia="en-AU"/>
        </w:rPr>
      </w:pPr>
      <w:r w:rsidRPr="00AD1560">
        <w:rPr>
          <w:lang w:eastAsia="en-AU"/>
        </w:rPr>
        <w:t>We are pleased to present this corporate plan, which sets out how the Board and the Commission will implement our joint strategic plan in 2022</w:t>
      </w:r>
      <w:r w:rsidR="006D71E7" w:rsidRPr="00AD1560">
        <w:rPr>
          <w:lang w:eastAsia="en-AU"/>
        </w:rPr>
        <w:t>-20</w:t>
      </w:r>
      <w:r w:rsidRPr="00AD1560">
        <w:rPr>
          <w:lang w:eastAsia="en-AU"/>
        </w:rPr>
        <w:t>23.</w:t>
      </w:r>
      <w:r w:rsidR="0013643C" w:rsidRPr="00AD1560">
        <w:rPr>
          <w:lang w:eastAsia="en-AU"/>
        </w:rPr>
        <w:t xml:space="preserve"> </w:t>
      </w:r>
      <w:r w:rsidRPr="00AD1560">
        <w:rPr>
          <w:lang w:eastAsia="en-AU"/>
        </w:rPr>
        <w:t>The corporate plan builds on our experience and early learnings of implementing the Disability Worker Regulation Scheme.</w:t>
      </w:r>
    </w:p>
    <w:p w14:paraId="1122AF03" w14:textId="77777777" w:rsidR="008B788A" w:rsidRPr="00AD1560" w:rsidRDefault="008B788A" w:rsidP="008B788A">
      <w:pPr>
        <w:pStyle w:val="VDWCbody"/>
        <w:rPr>
          <w:lang w:eastAsia="en-AU"/>
        </w:rPr>
      </w:pPr>
      <w:r w:rsidRPr="00AD1560">
        <w:rPr>
          <w:lang w:eastAsia="en-AU"/>
        </w:rPr>
        <w:t>It is the third year of regulatory activity for the Commission and the second year of taking registrations for the Board. We are therefore aware of many of the challenges and opportunities in front of us as we work to achieve our strategic outcomes.</w:t>
      </w:r>
    </w:p>
    <w:p w14:paraId="3832EEB9" w14:textId="37E8059D" w:rsidR="00B97A75" w:rsidRPr="00AD1560" w:rsidRDefault="008B788A" w:rsidP="008B788A">
      <w:pPr>
        <w:pStyle w:val="VDWCbody"/>
        <w:rPr>
          <w:lang w:eastAsia="en-AU"/>
        </w:rPr>
      </w:pPr>
      <w:r w:rsidRPr="00AD1560">
        <w:rPr>
          <w:lang w:eastAsia="en-AU"/>
        </w:rPr>
        <w:t>Whilst we continue the major and essential parts of the Board and Commission’s work of registering workers, taking complaints and notifications, this plan highlights the activity to achieve our priorities over the next year. Commensurate with the stage of development of the Board and Commission, our strategic activities are focused on educating stakeholders, building community understanding of our roles, and developing our capacity to achieve a high quality and safe disability workforce in Victoria.</w:t>
      </w:r>
    </w:p>
    <w:p w14:paraId="5B2C2044" w14:textId="4A6A6939" w:rsidR="008B788A" w:rsidRPr="00AD1560" w:rsidRDefault="008B788A" w:rsidP="008B788A">
      <w:pPr>
        <w:pStyle w:val="VDWCbody"/>
        <w:rPr>
          <w:lang w:eastAsia="en-AU"/>
        </w:rPr>
      </w:pPr>
      <w:r w:rsidRPr="00AD1560">
        <w:rPr>
          <w:lang w:eastAsia="en-AU"/>
        </w:rPr>
        <w:t>Our key priorities for this financial year are to respond efficiently to the growing number of complaints and notifications regarding unsafe or poor-quality disability services. In identifying our key strategic actions and projects for the next financial year we have given urgency to those that have the biggest impact for our organisation as well as benefits to our stakeholders.</w:t>
      </w:r>
    </w:p>
    <w:p w14:paraId="0DDB81BD" w14:textId="77777777" w:rsidR="008B788A" w:rsidRPr="00AD1560" w:rsidRDefault="008B788A" w:rsidP="008B788A">
      <w:pPr>
        <w:pStyle w:val="VDWCbody"/>
        <w:rPr>
          <w:lang w:eastAsia="en-AU"/>
        </w:rPr>
      </w:pPr>
      <w:r w:rsidRPr="00AD1560">
        <w:rPr>
          <w:lang w:eastAsia="en-AU"/>
        </w:rPr>
        <w:t>We are aware of the difficulties that the COVID-19 pandemic has placed on our sector and its range of implications. We are committed to work closely with our stakeholders in the implementation of the scheme so that together we can make a realistic difference to people living with disability.</w:t>
      </w:r>
    </w:p>
    <w:p w14:paraId="6F539070" w14:textId="634C49AC" w:rsidR="008B788A" w:rsidRPr="00AD1560" w:rsidRDefault="008B788A" w:rsidP="008B788A">
      <w:pPr>
        <w:pStyle w:val="VDWCbody"/>
        <w:rPr>
          <w:lang w:eastAsia="en-AU"/>
        </w:rPr>
      </w:pPr>
      <w:r w:rsidRPr="00AD1560">
        <w:rPr>
          <w:lang w:eastAsia="en-AU"/>
        </w:rPr>
        <w:t>The corporate plan does not provide detail on the 2023</w:t>
      </w:r>
      <w:r w:rsidR="006D71E7" w:rsidRPr="00AD1560">
        <w:rPr>
          <w:lang w:eastAsia="en-AU"/>
        </w:rPr>
        <w:t>-20</w:t>
      </w:r>
      <w:r w:rsidRPr="00AD1560">
        <w:rPr>
          <w:lang w:eastAsia="en-AU"/>
        </w:rPr>
        <w:t xml:space="preserve">24 actions as the Commission has only received budget allocation until June 2023. We have limited our annual planning to known resources whilst we operate on the basis that for the following year we will receive a similar budget to this year, plus funding for some specific areas of work. In a way it is an ambitious corporate plan; </w:t>
      </w:r>
      <w:r w:rsidR="000D6B9E" w:rsidRPr="00AD1560">
        <w:rPr>
          <w:lang w:eastAsia="en-AU"/>
        </w:rPr>
        <w:t>however</w:t>
      </w:r>
      <w:r w:rsidRPr="00AD1560">
        <w:rPr>
          <w:lang w:eastAsia="en-AU"/>
        </w:rPr>
        <w:t xml:space="preserve"> it is one we believe we can achieve.</w:t>
      </w:r>
    </w:p>
    <w:p w14:paraId="26BC2EDA" w14:textId="77777777" w:rsidR="009C22A3" w:rsidRPr="00AD1560" w:rsidRDefault="009C22A3" w:rsidP="008A2738">
      <w:pPr>
        <w:pStyle w:val="VDWCbody"/>
        <w:rPr>
          <w:b/>
          <w:bCs/>
          <w:lang w:eastAsia="en-AU"/>
        </w:rPr>
        <w:sectPr w:rsidR="009C22A3" w:rsidRPr="00AD1560"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pPr>
    </w:p>
    <w:p w14:paraId="3512494B" w14:textId="77777777" w:rsidR="009C22A3" w:rsidRPr="00AD1560" w:rsidRDefault="009C22A3" w:rsidP="009C22A3">
      <w:pPr>
        <w:pStyle w:val="VDWCbodyaftertablefigure"/>
        <w:rPr>
          <w:b/>
          <w:bCs/>
          <w:lang w:eastAsia="en-AU"/>
        </w:rPr>
      </w:pPr>
      <w:r w:rsidRPr="00AD1560">
        <w:rPr>
          <w:noProof/>
        </w:rPr>
        <w:drawing>
          <wp:inline distT="0" distB="0" distL="0" distR="0" wp14:anchorId="1FB22069" wp14:editId="70233149">
            <wp:extent cx="1545483" cy="1656000"/>
            <wp:effectExtent l="0" t="0" r="4445" b="0"/>
            <wp:docPr id="14" name="image11.jpeg" descr="Dan Stubbs portra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descr="Dan Stubbs portrait photo"/>
                    <pic:cNvPicPr/>
                  </pic:nvPicPr>
                  <pic:blipFill>
                    <a:blip r:embed="rId26" cstate="print"/>
                    <a:stretch>
                      <a:fillRect/>
                    </a:stretch>
                  </pic:blipFill>
                  <pic:spPr>
                    <a:xfrm>
                      <a:off x="0" y="0"/>
                      <a:ext cx="1545483" cy="1656000"/>
                    </a:xfrm>
                    <a:prstGeom prst="rect">
                      <a:avLst/>
                    </a:prstGeom>
                  </pic:spPr>
                </pic:pic>
              </a:graphicData>
            </a:graphic>
          </wp:inline>
        </w:drawing>
      </w:r>
    </w:p>
    <w:p w14:paraId="79C910D4" w14:textId="73F264CF" w:rsidR="009C22A3" w:rsidRPr="00AD1560" w:rsidRDefault="00F25D33" w:rsidP="009C22A3">
      <w:pPr>
        <w:pStyle w:val="VDWCbody"/>
        <w:rPr>
          <w:lang w:eastAsia="en-AU"/>
        </w:rPr>
      </w:pPr>
      <w:r w:rsidRPr="00AD1560">
        <w:rPr>
          <w:b/>
          <w:bCs/>
          <w:lang w:eastAsia="en-AU"/>
        </w:rPr>
        <w:t>Dan Stubbs</w:t>
      </w:r>
      <w:r w:rsidRPr="00AD1560">
        <w:rPr>
          <w:b/>
          <w:bCs/>
          <w:lang w:eastAsia="en-AU"/>
        </w:rPr>
        <w:br/>
        <w:t>Commissioner</w:t>
      </w:r>
      <w:r w:rsidR="009C22A3" w:rsidRPr="00AD1560">
        <w:rPr>
          <w:b/>
          <w:bCs/>
          <w:lang w:eastAsia="en-AU"/>
        </w:rPr>
        <w:br/>
      </w:r>
      <w:r w:rsidR="009C22A3" w:rsidRPr="00AD1560">
        <w:rPr>
          <w:lang w:eastAsia="en-AU"/>
        </w:rPr>
        <w:t>Victorian Disability Worker Commission</w:t>
      </w:r>
    </w:p>
    <w:p w14:paraId="0D22325A" w14:textId="77777777" w:rsidR="009C22A3" w:rsidRPr="00AD1560" w:rsidRDefault="009C22A3" w:rsidP="009C22A3">
      <w:pPr>
        <w:pStyle w:val="VDWCbodyaftertablefigure"/>
        <w:rPr>
          <w:b/>
          <w:bCs/>
          <w:lang w:eastAsia="en-AU"/>
        </w:rPr>
      </w:pPr>
      <w:r w:rsidRPr="00AD1560">
        <w:rPr>
          <w:noProof/>
        </w:rPr>
        <w:drawing>
          <wp:inline distT="0" distB="0" distL="0" distR="0" wp14:anchorId="7F58942D" wp14:editId="01BCA131">
            <wp:extent cx="1545483" cy="1656000"/>
            <wp:effectExtent l="0" t="0" r="4445" b="0"/>
            <wp:docPr id="15" name="image12.jpeg" descr="Melanie Eagle portra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jpeg" descr="Melanie Eagle portrait photo"/>
                    <pic:cNvPicPr/>
                  </pic:nvPicPr>
                  <pic:blipFill>
                    <a:blip r:embed="rId27" cstate="print"/>
                    <a:stretch>
                      <a:fillRect/>
                    </a:stretch>
                  </pic:blipFill>
                  <pic:spPr>
                    <a:xfrm>
                      <a:off x="0" y="0"/>
                      <a:ext cx="1545483" cy="1656000"/>
                    </a:xfrm>
                    <a:prstGeom prst="rect">
                      <a:avLst/>
                    </a:prstGeom>
                  </pic:spPr>
                </pic:pic>
              </a:graphicData>
            </a:graphic>
          </wp:inline>
        </w:drawing>
      </w:r>
    </w:p>
    <w:p w14:paraId="1C5E369E" w14:textId="063728BB" w:rsidR="009C22A3" w:rsidRPr="00AD1560" w:rsidRDefault="009C22A3" w:rsidP="009C22A3">
      <w:pPr>
        <w:pStyle w:val="VDWCbody"/>
        <w:rPr>
          <w:lang w:eastAsia="en-AU"/>
        </w:rPr>
        <w:sectPr w:rsidR="009C22A3" w:rsidRPr="00AD1560" w:rsidSect="002956FB">
          <w:type w:val="continuous"/>
          <w:pgSz w:w="11906" w:h="16838"/>
          <w:pgMar w:top="1701" w:right="1304" w:bottom="1134" w:left="1304" w:header="454" w:footer="510" w:gutter="0"/>
          <w:cols w:num="2" w:space="54"/>
          <w:docGrid w:linePitch="360"/>
        </w:sectPr>
      </w:pPr>
      <w:r w:rsidRPr="00AD1560">
        <w:rPr>
          <w:b/>
          <w:bCs/>
          <w:lang w:eastAsia="en-AU"/>
        </w:rPr>
        <w:t>Melanie Eagle</w:t>
      </w:r>
      <w:r w:rsidRPr="00AD1560">
        <w:rPr>
          <w:b/>
          <w:bCs/>
          <w:lang w:eastAsia="en-AU"/>
        </w:rPr>
        <w:br/>
        <w:t>Chairperson</w:t>
      </w:r>
      <w:r w:rsidRPr="00AD1560">
        <w:rPr>
          <w:lang w:eastAsia="en-AU"/>
        </w:rPr>
        <w:br/>
        <w:t>Disability Worker Registration Board of Victoria</w:t>
      </w:r>
    </w:p>
    <w:p w14:paraId="115B6FE4" w14:textId="2D276E6F" w:rsidR="007020B2" w:rsidRPr="00AD1560" w:rsidRDefault="007020B2" w:rsidP="008A2738">
      <w:pPr>
        <w:pStyle w:val="VDWCbody"/>
        <w:rPr>
          <w:b/>
          <w:bCs/>
          <w:lang w:eastAsia="en-AU"/>
        </w:rPr>
      </w:pPr>
      <w:r w:rsidRPr="00AD1560">
        <w:br w:type="page"/>
      </w:r>
    </w:p>
    <w:p w14:paraId="7FA5DCFA" w14:textId="3C79302B" w:rsidR="001C00C0" w:rsidRPr="00AD1560" w:rsidRDefault="00B97A75" w:rsidP="003F5076">
      <w:pPr>
        <w:pStyle w:val="Heading1"/>
      </w:pPr>
      <w:bookmarkStart w:id="4" w:name="_Toc115983177"/>
      <w:r w:rsidRPr="00AD1560">
        <w:lastRenderedPageBreak/>
        <w:t>About us</w:t>
      </w:r>
      <w:bookmarkEnd w:id="4"/>
    </w:p>
    <w:p w14:paraId="2A2C93B9" w14:textId="77777777" w:rsidR="00B97A75" w:rsidRPr="00AD1560" w:rsidRDefault="00B97A75" w:rsidP="00B97A75">
      <w:pPr>
        <w:pStyle w:val="Heading2"/>
        <w:rPr>
          <w:rFonts w:eastAsia="Times"/>
        </w:rPr>
      </w:pPr>
      <w:bookmarkStart w:id="5" w:name="_Toc115983178"/>
      <w:r w:rsidRPr="00AD1560">
        <w:rPr>
          <w:rFonts w:eastAsia="Times"/>
        </w:rPr>
        <w:t>Our purpose</w:t>
      </w:r>
      <w:bookmarkEnd w:id="5"/>
    </w:p>
    <w:p w14:paraId="2801F79B" w14:textId="745CE0E4" w:rsidR="00B97A75" w:rsidRPr="00AD1560" w:rsidRDefault="00B97A75" w:rsidP="00B97A75">
      <w:pPr>
        <w:rPr>
          <w:rFonts w:ascii="Arial" w:eastAsia="Times" w:hAnsi="Arial"/>
          <w:sz w:val="22"/>
        </w:rPr>
      </w:pPr>
      <w:r w:rsidRPr="00AD1560">
        <w:rPr>
          <w:rFonts w:ascii="Arial" w:eastAsia="Times" w:hAnsi="Arial"/>
          <w:sz w:val="22"/>
        </w:rPr>
        <w:t>We regulate all workers providing disability services in Victoria, regardless of how they’re funded, setting standards for registration and training, resolving complaints and prohibiting unsafe workers.</w:t>
      </w:r>
    </w:p>
    <w:p w14:paraId="1039AE80" w14:textId="4A486690" w:rsidR="00B97A75" w:rsidRPr="00AD1560" w:rsidRDefault="00B97A75" w:rsidP="00B97A75">
      <w:pPr>
        <w:pStyle w:val="Heading2"/>
      </w:pPr>
      <w:bookmarkStart w:id="6" w:name="_Toc115983179"/>
      <w:r w:rsidRPr="00AD1560">
        <w:t>What we currently do</w:t>
      </w:r>
      <w:bookmarkEnd w:id="6"/>
    </w:p>
    <w:p w14:paraId="56937C73" w14:textId="16D71DFE" w:rsidR="00B97A75" w:rsidRPr="00AD1560" w:rsidRDefault="00B97A75" w:rsidP="00B97A75">
      <w:pPr>
        <w:pStyle w:val="VDWCbody"/>
      </w:pPr>
      <w:r w:rsidRPr="00AD1560">
        <w:t>This is the shared corporate plan for the Victorian Disability Worker Commission (Commission) and the Disability Worker Registration Board of Victoria (Board).</w:t>
      </w:r>
    </w:p>
    <w:p w14:paraId="55A650CB" w14:textId="5AC0ACF7" w:rsidR="00B97A75" w:rsidRPr="00AD1560" w:rsidRDefault="00B97A75" w:rsidP="00B97A75">
      <w:pPr>
        <w:pStyle w:val="VDWCbody"/>
      </w:pPr>
      <w:r w:rsidRPr="00AD1560">
        <w:t xml:space="preserve">We manage the Disability Worker Regulation Scheme </w:t>
      </w:r>
      <w:r w:rsidR="009C10A5" w:rsidRPr="00AD1560">
        <w:t xml:space="preserve">(the Scheme) </w:t>
      </w:r>
      <w:r w:rsidRPr="00AD1560">
        <w:t>by:</w:t>
      </w:r>
    </w:p>
    <w:p w14:paraId="2E52DBD8" w14:textId="7417900B" w:rsidR="00B97A75" w:rsidRPr="00AD1560" w:rsidRDefault="00B97A75" w:rsidP="00B97A75">
      <w:pPr>
        <w:pStyle w:val="VDWCbullet1"/>
      </w:pPr>
      <w:r w:rsidRPr="00AD1560">
        <w:t>regulating registered disability workers through a voluntary registration scheme</w:t>
      </w:r>
    </w:p>
    <w:p w14:paraId="0C983396" w14:textId="201FAC4B" w:rsidR="00B97A75" w:rsidRPr="00AD1560" w:rsidRDefault="00B97A75" w:rsidP="00B97A75">
      <w:pPr>
        <w:pStyle w:val="VDWCbullet1"/>
      </w:pPr>
      <w:r w:rsidRPr="00AD1560">
        <w:t>developing professional registration standards to promote professionalisation of the disability workforce</w:t>
      </w:r>
    </w:p>
    <w:p w14:paraId="589D7BEB" w14:textId="5AB50778" w:rsidR="00B97A75" w:rsidRPr="00AD1560" w:rsidRDefault="00B97A75" w:rsidP="00B97A75">
      <w:pPr>
        <w:pStyle w:val="VDWCbullet1"/>
      </w:pPr>
      <w:r w:rsidRPr="00AD1560">
        <w:t>regulating the conduct of all disability workers operating in Victoria via a Code of Conduct</w:t>
      </w:r>
    </w:p>
    <w:p w14:paraId="2CA7DD82" w14:textId="2AF131D0" w:rsidR="00B97A75" w:rsidRPr="00AD1560" w:rsidRDefault="00B97A75" w:rsidP="00B97A75">
      <w:pPr>
        <w:pStyle w:val="VDWCbullet1"/>
      </w:pPr>
      <w:r w:rsidRPr="00AD1560">
        <w:t>investigating and responding to complaints and notifications about disability workers</w:t>
      </w:r>
    </w:p>
    <w:p w14:paraId="62D653B2" w14:textId="315A3A09" w:rsidR="00B97A75" w:rsidRPr="00AD1560" w:rsidRDefault="00B97A75" w:rsidP="00B97A75">
      <w:pPr>
        <w:pStyle w:val="VDWCbullet1"/>
      </w:pPr>
      <w:r w:rsidRPr="00AD1560">
        <w:t>sharing appropriate information with regulators about disability workers to support quality and safety in the disability workforce.</w:t>
      </w:r>
    </w:p>
    <w:p w14:paraId="6506E60F" w14:textId="623A4CC5" w:rsidR="00B97A75" w:rsidRPr="00AD1560" w:rsidRDefault="00B97A75" w:rsidP="00B97A75">
      <w:pPr>
        <w:pStyle w:val="VDWCbodyafterbullets"/>
      </w:pPr>
      <w:r w:rsidRPr="00AD1560">
        <w:t xml:space="preserve">For a full list of Board and Commission functions please see the </w:t>
      </w:r>
      <w:r w:rsidRPr="00AD1560">
        <w:rPr>
          <w:i/>
          <w:iCs/>
        </w:rPr>
        <w:t>Disability Service Safeguards Act 2018</w:t>
      </w:r>
      <w:r w:rsidR="009C10A5" w:rsidRPr="00AD1560">
        <w:t xml:space="preserve"> (DSS Act)</w:t>
      </w:r>
      <w:r w:rsidRPr="00AD1560">
        <w:t>.</w:t>
      </w:r>
    </w:p>
    <w:p w14:paraId="7AB5F493" w14:textId="524704EA" w:rsidR="00B97A75" w:rsidRPr="00AD1560" w:rsidRDefault="009C10A5" w:rsidP="00B97A75">
      <w:pPr>
        <w:pStyle w:val="VDWCbody"/>
      </w:pPr>
      <w:r w:rsidRPr="00AD1560">
        <w:rPr>
          <w:b/>
          <w:bCs/>
        </w:rPr>
        <w:fldChar w:fldCharType="begin"/>
      </w:r>
      <w:r w:rsidRPr="00AD1560">
        <w:rPr>
          <w:b/>
          <w:bCs/>
        </w:rPr>
        <w:instrText xml:space="preserve"> REF _Ref115794486 \h  \* MERGEFORMAT </w:instrText>
      </w:r>
      <w:r w:rsidRPr="00AD1560">
        <w:rPr>
          <w:b/>
          <w:bCs/>
        </w:rPr>
      </w:r>
      <w:r w:rsidRPr="00AD1560">
        <w:rPr>
          <w:b/>
          <w:bCs/>
        </w:rPr>
        <w:fldChar w:fldCharType="separate"/>
      </w:r>
      <w:r w:rsidRPr="00AD1560">
        <w:rPr>
          <w:b/>
          <w:bCs/>
        </w:rPr>
        <w:t xml:space="preserve">Figure </w:t>
      </w:r>
      <w:r w:rsidRPr="00AD1560">
        <w:rPr>
          <w:b/>
          <w:bCs/>
          <w:noProof/>
        </w:rPr>
        <w:t>1</w:t>
      </w:r>
      <w:r w:rsidRPr="00AD1560">
        <w:rPr>
          <w:b/>
          <w:bCs/>
        </w:rPr>
        <w:fldChar w:fldCharType="end"/>
      </w:r>
      <w:r w:rsidR="00B97A75" w:rsidRPr="00AD1560">
        <w:t xml:space="preserve"> illustrates the interrelationships between the roles of the Commission, the Commissioner and the Board.</w:t>
      </w:r>
    </w:p>
    <w:p w14:paraId="67358A76" w14:textId="279CA3F3" w:rsidR="00B97A75" w:rsidRPr="00AD1560" w:rsidRDefault="00B97A75" w:rsidP="00B97A75">
      <w:pPr>
        <w:pStyle w:val="VDWCfigurecaption"/>
      </w:pPr>
      <w:bookmarkStart w:id="7" w:name="_Ref115794486"/>
      <w:r w:rsidRPr="00AD1560">
        <w:t xml:space="preserve">Figure </w:t>
      </w:r>
      <w:r w:rsidR="00DB73FF">
        <w:fldChar w:fldCharType="begin"/>
      </w:r>
      <w:r w:rsidR="00DB73FF">
        <w:instrText xml:space="preserve"> SEQ Figure \* ARABIC </w:instrText>
      </w:r>
      <w:r w:rsidR="00DB73FF">
        <w:fldChar w:fldCharType="separate"/>
      </w:r>
      <w:r w:rsidR="009031FF" w:rsidRPr="00AD1560">
        <w:rPr>
          <w:noProof/>
        </w:rPr>
        <w:t>1</w:t>
      </w:r>
      <w:r w:rsidR="00DB73FF">
        <w:rPr>
          <w:noProof/>
        </w:rPr>
        <w:fldChar w:fldCharType="end"/>
      </w:r>
      <w:bookmarkEnd w:id="7"/>
      <w:r w:rsidRPr="00AD1560">
        <w:t>: Interrelationships between the Commission, the Commissioner and the Board</w:t>
      </w:r>
    </w:p>
    <w:p w14:paraId="0C0DB74C" w14:textId="77777777" w:rsidR="00B97A75" w:rsidRPr="00AD1560" w:rsidRDefault="00B97A75" w:rsidP="00B97A75">
      <w:pPr>
        <w:pStyle w:val="VDWCbody"/>
      </w:pPr>
      <w:r w:rsidRPr="00AD1560">
        <w:rPr>
          <w:noProof/>
        </w:rPr>
        <w:drawing>
          <wp:inline distT="0" distB="0" distL="0" distR="0" wp14:anchorId="053D9DB4" wp14:editId="27D7B39F">
            <wp:extent cx="5904230" cy="3013075"/>
            <wp:effectExtent l="0" t="0" r="1270" b="0"/>
            <wp:docPr id="13" name="Picture 13" descr="Diagram of interrelationships. The Commissioner regulates unregistered disability workers, the Board regulates registered disability workers. They have some overlapping joint functions. The Commission supports them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of interrelationships. The Commissioner regulates unregistered disability workers, the Board regulates registered disability workers. They have some overlapping joint functions. The Commission supports them both."/>
                    <pic:cNvPicPr/>
                  </pic:nvPicPr>
                  <pic:blipFill>
                    <a:blip r:embed="rId28"/>
                    <a:stretch>
                      <a:fillRect/>
                    </a:stretch>
                  </pic:blipFill>
                  <pic:spPr>
                    <a:xfrm>
                      <a:off x="0" y="0"/>
                      <a:ext cx="5904230" cy="3013075"/>
                    </a:xfrm>
                    <a:prstGeom prst="rect">
                      <a:avLst/>
                    </a:prstGeom>
                  </pic:spPr>
                </pic:pic>
              </a:graphicData>
            </a:graphic>
          </wp:inline>
        </w:drawing>
      </w:r>
    </w:p>
    <w:p w14:paraId="7864B401" w14:textId="147636D2" w:rsidR="003F5076" w:rsidRPr="00AD1560" w:rsidRDefault="003F5076" w:rsidP="00B97A75">
      <w:pPr>
        <w:pStyle w:val="VDWCbody"/>
      </w:pPr>
      <w:r w:rsidRPr="00AD1560">
        <w:br w:type="page"/>
      </w:r>
    </w:p>
    <w:p w14:paraId="54358CEF" w14:textId="252ADC01" w:rsidR="00B97A75" w:rsidRPr="00AD1560" w:rsidRDefault="00B97A75" w:rsidP="00B97A75">
      <w:pPr>
        <w:pStyle w:val="VDWCbody"/>
      </w:pPr>
      <w:r w:rsidRPr="00AD1560">
        <w:lastRenderedPageBreak/>
        <w:t>In August 2018 the Victorian Parliament passed the DSS Act to improve the quality and safety of disability care and service standards. The DSS Act set up the Scheme.</w:t>
      </w:r>
    </w:p>
    <w:p w14:paraId="1621D408" w14:textId="6D9D3818" w:rsidR="00B97A75" w:rsidRPr="00AD1560" w:rsidRDefault="00B97A75" w:rsidP="00B97A75">
      <w:pPr>
        <w:pStyle w:val="VDWCbody"/>
      </w:pPr>
      <w:r w:rsidRPr="00AD1560">
        <w:t>The Scheme covers all Victorian disability workers (registered and unregistered) and students training to be disability workers in Victoria. It started on 1 July 2020 and forms part of the Victorian Government’s zero tolerance approach to the abuse of people with disability.</w:t>
      </w:r>
    </w:p>
    <w:p w14:paraId="3E081F43" w14:textId="77777777" w:rsidR="00B97A75" w:rsidRPr="00AD1560" w:rsidRDefault="00B97A75" w:rsidP="00B97A75">
      <w:pPr>
        <w:pStyle w:val="VDWCbody"/>
      </w:pPr>
      <w:r w:rsidRPr="00AD1560">
        <w:t>The DSS Act:</w:t>
      </w:r>
    </w:p>
    <w:p w14:paraId="58A42AD0" w14:textId="6AF1417E" w:rsidR="00B97A75" w:rsidRPr="00AD1560" w:rsidRDefault="00B97A75" w:rsidP="00B97A75">
      <w:pPr>
        <w:pStyle w:val="VDWCbullet1"/>
      </w:pPr>
      <w:r w:rsidRPr="00AD1560">
        <w:t>creates a voluntary registration scheme for disability workers</w:t>
      </w:r>
    </w:p>
    <w:p w14:paraId="2D0B4B13" w14:textId="434B7D5D" w:rsidR="00B97A75" w:rsidRPr="00AD1560" w:rsidRDefault="00B97A75" w:rsidP="00B97A75">
      <w:pPr>
        <w:pStyle w:val="VDWCbullet1"/>
      </w:pPr>
      <w:r w:rsidRPr="00AD1560">
        <w:t>provides a way to make a complaint or a notification about any disability worker in Victoria</w:t>
      </w:r>
    </w:p>
    <w:p w14:paraId="254BE5C1" w14:textId="443AFF2A" w:rsidR="00B97A75" w:rsidRPr="00AD1560" w:rsidRDefault="00B97A75" w:rsidP="00B97A75">
      <w:pPr>
        <w:pStyle w:val="VDWCbullet1"/>
      </w:pPr>
      <w:r w:rsidRPr="00AD1560">
        <w:t>requires all unregistered disability workers comply with a Code of Conduct</w:t>
      </w:r>
    </w:p>
    <w:p w14:paraId="437DD619" w14:textId="2B2F0C36" w:rsidR="00B97A75" w:rsidRPr="00AD1560" w:rsidRDefault="00B97A75" w:rsidP="00B97A75">
      <w:pPr>
        <w:pStyle w:val="VDWCbullet1"/>
      </w:pPr>
      <w:r w:rsidRPr="00AD1560">
        <w:t>creates the Victorian Disability Worker Commission, the Victorian Disability Worker Commissioner and the Disability Worker Registration Board of Victoria as regulators of the Scheme.</w:t>
      </w:r>
    </w:p>
    <w:p w14:paraId="7433BD2E" w14:textId="03D53F48" w:rsidR="00B97A75" w:rsidRPr="00AD1560" w:rsidRDefault="00B97A75" w:rsidP="00B97A75">
      <w:pPr>
        <w:pStyle w:val="Heading2"/>
      </w:pPr>
      <w:bookmarkStart w:id="8" w:name="_Toc115983180"/>
      <w:r w:rsidRPr="00AD1560">
        <w:t>Our operating environment</w:t>
      </w:r>
      <w:bookmarkEnd w:id="8"/>
    </w:p>
    <w:p w14:paraId="69475285" w14:textId="608D9089" w:rsidR="00B97A75" w:rsidRPr="00AD1560" w:rsidRDefault="00B97A75" w:rsidP="00B97A75">
      <w:pPr>
        <w:pStyle w:val="VDWCbody"/>
      </w:pPr>
      <w:r w:rsidRPr="00AD1560">
        <w:t>In Victoria, 17 per cent</w:t>
      </w:r>
      <w:r w:rsidR="005241C5" w:rsidRPr="00AD1560">
        <w:rPr>
          <w:rStyle w:val="FootnoteReference"/>
        </w:rPr>
        <w:footnoteReference w:id="1"/>
      </w:r>
      <w:r w:rsidRPr="00AD1560">
        <w:t xml:space="preserve"> of people identify as having a disability. Thirty-two per cent</w:t>
      </w:r>
      <w:r w:rsidR="005241C5" w:rsidRPr="00AD1560">
        <w:rPr>
          <w:rStyle w:val="FootnoteReference"/>
        </w:rPr>
        <w:footnoteReference w:id="2"/>
      </w:r>
      <w:r w:rsidRPr="00AD1560">
        <w:t xml:space="preserve"> of people with disability sometimes or always need help with self-care, mobility or communication.</w:t>
      </w:r>
    </w:p>
    <w:p w14:paraId="5473C056" w14:textId="258CAD82" w:rsidR="00B97A75" w:rsidRPr="00AD1560" w:rsidRDefault="00B97A75" w:rsidP="00B97A75">
      <w:pPr>
        <w:pStyle w:val="VDWCbody"/>
      </w:pPr>
      <w:r w:rsidRPr="00AD1560">
        <w:t>In Victoria, just over 10 per cent</w:t>
      </w:r>
      <w:r w:rsidR="005241C5" w:rsidRPr="00AD1560">
        <w:rPr>
          <w:rStyle w:val="FootnoteReference"/>
        </w:rPr>
        <w:footnoteReference w:id="3"/>
      </w:r>
      <w:r w:rsidRPr="00AD1560">
        <w:t xml:space="preserve"> of the 1.1 million Victorians with disability are eligible for a National Disability Insurance Scheme (NDIS) plan. This means that many Victorians receive support outside the NDIS framework.</w:t>
      </w:r>
    </w:p>
    <w:p w14:paraId="77A6908F" w14:textId="77777777" w:rsidR="00B97A75" w:rsidRPr="00AD1560" w:rsidRDefault="00B97A75" w:rsidP="00B97A75">
      <w:pPr>
        <w:pStyle w:val="VDWCbody"/>
      </w:pPr>
      <w:r w:rsidRPr="00AD1560">
        <w:t>The Scheme covers both NDIS and non-NDIS disability workers and protects people with disability, including those who are not NDIS participants. This represents the majority of Victorians with disability who use support services.</w:t>
      </w:r>
    </w:p>
    <w:p w14:paraId="4C04BEAD" w14:textId="77777777" w:rsidR="00B97A75" w:rsidRPr="00AD1560" w:rsidRDefault="00B97A75" w:rsidP="00B97A75">
      <w:pPr>
        <w:pStyle w:val="VDWCbody"/>
      </w:pPr>
      <w:r w:rsidRPr="00AD1560">
        <w:t>In Victoria, many bodies work together to support safe disability services. We work with other agencies and organisations, including other workforce regulators including:</w:t>
      </w:r>
    </w:p>
    <w:p w14:paraId="6D13CF15" w14:textId="13EED64A" w:rsidR="00B97A75" w:rsidRPr="00AD1560" w:rsidRDefault="00B97A75" w:rsidP="005241C5">
      <w:pPr>
        <w:pStyle w:val="VDWCbullet1"/>
      </w:pPr>
      <w:r w:rsidRPr="00AD1560">
        <w:t>NDIS Quality and Safeguards Commission</w:t>
      </w:r>
    </w:p>
    <w:p w14:paraId="2BFC4979" w14:textId="4C8A9208" w:rsidR="00B97A75" w:rsidRPr="00AD1560" w:rsidRDefault="00B97A75" w:rsidP="005241C5">
      <w:pPr>
        <w:pStyle w:val="VDWCbullet1"/>
      </w:pPr>
      <w:r w:rsidRPr="00AD1560">
        <w:t>Australian Health Practitioner Regulation Agency (</w:t>
      </w:r>
      <w:r w:rsidR="006D6EC1" w:rsidRPr="00AD1560">
        <w:t>AHPRA</w:t>
      </w:r>
      <w:r w:rsidRPr="00AD1560">
        <w:t>)</w:t>
      </w:r>
    </w:p>
    <w:p w14:paraId="089B6FB7" w14:textId="2058B66C" w:rsidR="00B97A75" w:rsidRPr="00AD1560" w:rsidRDefault="00B97A75" w:rsidP="005241C5">
      <w:pPr>
        <w:pStyle w:val="VDWCbullet1"/>
      </w:pPr>
      <w:r w:rsidRPr="00AD1560">
        <w:t>Health Complaints Commissioner</w:t>
      </w:r>
    </w:p>
    <w:p w14:paraId="4E198144" w14:textId="065B1266" w:rsidR="00B97A75" w:rsidRPr="00AD1560" w:rsidRDefault="00B97A75" w:rsidP="005241C5">
      <w:pPr>
        <w:pStyle w:val="VDWCbullet1"/>
      </w:pPr>
      <w:r w:rsidRPr="00AD1560">
        <w:t>Mental Health Complaints Commissioner</w:t>
      </w:r>
    </w:p>
    <w:p w14:paraId="4380F9FA" w14:textId="6EDD7944" w:rsidR="00B97A75" w:rsidRPr="00AD1560" w:rsidRDefault="00B97A75" w:rsidP="005241C5">
      <w:pPr>
        <w:pStyle w:val="VDWCbullet1"/>
      </w:pPr>
      <w:r w:rsidRPr="00AD1560">
        <w:t>Commission for Children and Young People</w:t>
      </w:r>
    </w:p>
    <w:p w14:paraId="4602B15B" w14:textId="418217F8" w:rsidR="00B97A75" w:rsidRPr="00AD1560" w:rsidRDefault="00B97A75" w:rsidP="005241C5">
      <w:pPr>
        <w:pStyle w:val="VDWCbullet1"/>
      </w:pPr>
      <w:r w:rsidRPr="00AD1560">
        <w:t>Victorian Institute of Teaching</w:t>
      </w:r>
    </w:p>
    <w:p w14:paraId="705AB91C" w14:textId="36DE5F15" w:rsidR="00B97A75" w:rsidRPr="00AD1560" w:rsidRDefault="00B97A75" w:rsidP="005241C5">
      <w:pPr>
        <w:pStyle w:val="VDWCbullet1"/>
      </w:pPr>
      <w:r w:rsidRPr="00AD1560">
        <w:t>Office of the Public Advocate</w:t>
      </w:r>
    </w:p>
    <w:p w14:paraId="26E94EBA" w14:textId="0BF2883E" w:rsidR="00B97A75" w:rsidRPr="00AD1560" w:rsidRDefault="00B97A75" w:rsidP="005241C5">
      <w:pPr>
        <w:pStyle w:val="VDWCbullet1"/>
      </w:pPr>
      <w:r w:rsidRPr="00AD1560">
        <w:t>Disability Services Commissioner.</w:t>
      </w:r>
    </w:p>
    <w:p w14:paraId="5D42BF31" w14:textId="77777777" w:rsidR="005241C5" w:rsidRPr="00AD1560" w:rsidRDefault="005241C5" w:rsidP="005241C5">
      <w:pPr>
        <w:pStyle w:val="VDWCbodyafterbullets"/>
      </w:pPr>
      <w:r w:rsidRPr="00AD1560">
        <w:t>In Victoria, we also work closely with the Department of Justice and Community Safety, which administers NDIS worker screening, and the Department of Families, Fairness and Housing.</w:t>
      </w:r>
    </w:p>
    <w:p w14:paraId="64ADAB44" w14:textId="77777777" w:rsidR="005241C5" w:rsidRPr="00AD1560" w:rsidRDefault="005241C5" w:rsidP="005241C5">
      <w:pPr>
        <w:pStyle w:val="VDWCbody"/>
      </w:pPr>
      <w:r w:rsidRPr="00AD1560">
        <w:t>Disability support work is complex. It needs a workforce with the skills and expertise to provide safe, quality supports.</w:t>
      </w:r>
    </w:p>
    <w:p w14:paraId="2A3B1D8A" w14:textId="77777777" w:rsidR="009C10A5" w:rsidRPr="00AD1560" w:rsidRDefault="009C10A5" w:rsidP="002956FB">
      <w:pPr>
        <w:pStyle w:val="VDWCbody"/>
      </w:pPr>
      <w:r w:rsidRPr="00AD1560">
        <w:br w:type="page"/>
      </w:r>
    </w:p>
    <w:p w14:paraId="75904231" w14:textId="0973601E" w:rsidR="005241C5" w:rsidRPr="00AD1560" w:rsidRDefault="005241C5" w:rsidP="005241C5">
      <w:pPr>
        <w:pStyle w:val="VDWCbody"/>
      </w:pPr>
      <w:r w:rsidRPr="00AD1560">
        <w:lastRenderedPageBreak/>
        <w:t>More broadly, there are pressures on the supply of the workforce in the disability sector. Key factors impacting the size of the workforce include:</w:t>
      </w:r>
    </w:p>
    <w:p w14:paraId="3A48409F" w14:textId="7B110C7A" w:rsidR="005241C5" w:rsidRPr="00AD1560" w:rsidRDefault="005241C5" w:rsidP="002956FB">
      <w:pPr>
        <w:pStyle w:val="VDWCbullet1"/>
      </w:pPr>
      <w:r w:rsidRPr="00AD1560">
        <w:t>competition for workers with other sectors including aged care and childcare</w:t>
      </w:r>
    </w:p>
    <w:p w14:paraId="00E3E01E" w14:textId="5818A0C6" w:rsidR="005241C5" w:rsidRPr="00AD1560" w:rsidRDefault="005241C5" w:rsidP="002956FB">
      <w:pPr>
        <w:pStyle w:val="VDWCbullet1"/>
      </w:pPr>
      <w:r w:rsidRPr="00AD1560">
        <w:t>casualisation of the workforce, which is female dominated</w:t>
      </w:r>
    </w:p>
    <w:p w14:paraId="411995E5" w14:textId="43DCC0E5" w:rsidR="005241C5" w:rsidRPr="00AD1560" w:rsidRDefault="005241C5" w:rsidP="002956FB">
      <w:pPr>
        <w:pStyle w:val="VDWCbullet1"/>
      </w:pPr>
      <w:r w:rsidRPr="00AD1560">
        <w:t>relatively low pay rates.</w:t>
      </w:r>
    </w:p>
    <w:p w14:paraId="2886D693" w14:textId="06E0D96D" w:rsidR="005241C5" w:rsidRPr="00AD1560" w:rsidRDefault="005241C5" w:rsidP="002956FB">
      <w:pPr>
        <w:pStyle w:val="VDWCbodyafterbullets"/>
      </w:pPr>
      <w:r w:rsidRPr="00AD1560">
        <w:t>A high turnover rate amongst casual disability workers has also added pressure to the disability workforce. The turnover rate has increased from 18 per cent in December 2020</w:t>
      </w:r>
      <w:r w:rsidR="006D6EC1" w:rsidRPr="00AD1560">
        <w:t xml:space="preserve"> </w:t>
      </w:r>
      <w:r w:rsidRPr="00AD1560">
        <w:t>to 22 per cent in June 2021.</w:t>
      </w:r>
      <w:r w:rsidRPr="00AD1560">
        <w:rPr>
          <w:rStyle w:val="FootnoteReference"/>
        </w:rPr>
        <w:footnoteReference w:id="4"/>
      </w:r>
    </w:p>
    <w:p w14:paraId="57E29D38" w14:textId="77777777" w:rsidR="005241C5" w:rsidRPr="00AD1560" w:rsidRDefault="005241C5" w:rsidP="005241C5">
      <w:pPr>
        <w:pStyle w:val="VDWCbody"/>
      </w:pPr>
      <w:r w:rsidRPr="00AD1560">
        <w:t>During 2021 and 2022, the COVID-19 pandemic has continued to have unprecedented public health, social and economic implications for the community. These effects have been acute for people with disability and the disability workforce.</w:t>
      </w:r>
    </w:p>
    <w:p w14:paraId="2BB642B0" w14:textId="77777777" w:rsidR="005241C5" w:rsidRPr="00AD1560" w:rsidRDefault="005241C5" w:rsidP="005241C5">
      <w:pPr>
        <w:pStyle w:val="VDWCbody"/>
      </w:pPr>
      <w:r w:rsidRPr="00AD1560">
        <w:t>From an operational perspective, the COVID-19 pandemic has meant that the operations of the Commission and Board have mainly been conducted online. Staff did not begin returning to offices and workplaces until early in 2022.</w:t>
      </w:r>
    </w:p>
    <w:p w14:paraId="1AB23B4B" w14:textId="0A292F82" w:rsidR="00B97A75" w:rsidRPr="00AD1560" w:rsidRDefault="005241C5" w:rsidP="005241C5">
      <w:pPr>
        <w:pStyle w:val="VDWCbody"/>
      </w:pPr>
      <w:r w:rsidRPr="00AD1560">
        <w:t>In this context, as new organisations, the Commission and Board have focused our work on building awareness of the Scheme with stakeholders. Our regulatory approach has reflected this aim. We actively provide a ‘no wrong door’ approach to support people with disability and help resolve their queries, including by referring matters to appropriate agencies.</w:t>
      </w:r>
    </w:p>
    <w:p w14:paraId="410C648A" w14:textId="77777777" w:rsidR="0010661E" w:rsidRPr="00AD1560" w:rsidRDefault="0010661E">
      <w:pPr>
        <w:rPr>
          <w:rFonts w:ascii="Arial" w:hAnsi="Arial"/>
          <w:b/>
          <w:color w:val="1D1937"/>
          <w:sz w:val="28"/>
          <w:szCs w:val="28"/>
        </w:rPr>
      </w:pPr>
      <w:bookmarkStart w:id="9" w:name="_About_us"/>
      <w:bookmarkEnd w:id="9"/>
      <w:r w:rsidRPr="00AD1560">
        <w:br w:type="page"/>
      </w:r>
    </w:p>
    <w:p w14:paraId="1379DF46" w14:textId="77777777" w:rsidR="003F5076" w:rsidRPr="00AD1560" w:rsidRDefault="009101E1" w:rsidP="005241C5">
      <w:pPr>
        <w:pStyle w:val="Heading1"/>
      </w:pPr>
      <w:bookmarkStart w:id="10" w:name="_Toc115983181"/>
      <w:r w:rsidRPr="00AD1560">
        <w:lastRenderedPageBreak/>
        <w:t>Our values</w:t>
      </w:r>
      <w:bookmarkEnd w:id="10"/>
    </w:p>
    <w:p w14:paraId="45772B70" w14:textId="77777777" w:rsidR="009101E1" w:rsidRPr="00AD1560" w:rsidRDefault="009101E1" w:rsidP="005241C5">
      <w:pPr>
        <w:pStyle w:val="Introtext"/>
      </w:pPr>
      <w:r w:rsidRPr="00AD1560">
        <w:t>Our values inform what we do and how we do it.</w:t>
      </w:r>
    </w:p>
    <w:p w14:paraId="07CA4B92" w14:textId="77777777" w:rsidR="009101E1" w:rsidRPr="00AD1560" w:rsidRDefault="009101E1" w:rsidP="005241C5">
      <w:pPr>
        <w:pStyle w:val="Heading2"/>
      </w:pPr>
      <w:bookmarkStart w:id="11" w:name="_Toc115983182"/>
      <w:r w:rsidRPr="00AD1560">
        <w:t>Diversity and inclusion</w:t>
      </w:r>
      <w:bookmarkEnd w:id="11"/>
    </w:p>
    <w:p w14:paraId="76C1D862" w14:textId="77777777" w:rsidR="009101E1" w:rsidRPr="00AD1560" w:rsidRDefault="009101E1" w:rsidP="009101E1">
      <w:pPr>
        <w:pStyle w:val="VDWCbullet1"/>
      </w:pPr>
      <w:r w:rsidRPr="00AD1560">
        <w:t>We have inclusive recruitment and employment practices that foster diversity in our workforce.</w:t>
      </w:r>
    </w:p>
    <w:p w14:paraId="05971839" w14:textId="77777777" w:rsidR="009101E1" w:rsidRPr="00AD1560" w:rsidRDefault="009101E1" w:rsidP="009101E1">
      <w:pPr>
        <w:pStyle w:val="VDWCbullet1"/>
      </w:pPr>
      <w:r w:rsidRPr="00AD1560">
        <w:t>We ensure that diverse communities see themselves in who we are and what we do.</w:t>
      </w:r>
    </w:p>
    <w:p w14:paraId="1088F67C" w14:textId="77777777" w:rsidR="009101E1" w:rsidRPr="00AD1560" w:rsidRDefault="009101E1" w:rsidP="009101E1">
      <w:pPr>
        <w:pStyle w:val="VDWCbullet1"/>
      </w:pPr>
      <w:r w:rsidRPr="00AD1560">
        <w:t>We are committed to being an accessible workplace and an accessible regulator for our diverse stakeholders.</w:t>
      </w:r>
    </w:p>
    <w:p w14:paraId="7164BA3A" w14:textId="77777777" w:rsidR="009101E1" w:rsidRPr="00AD1560" w:rsidRDefault="009101E1" w:rsidP="005241C5">
      <w:pPr>
        <w:pStyle w:val="Heading2"/>
      </w:pPr>
      <w:bookmarkStart w:id="12" w:name="_Toc115983183"/>
      <w:r w:rsidRPr="00AD1560">
        <w:t>Independent and fair</w:t>
      </w:r>
      <w:bookmarkEnd w:id="12"/>
    </w:p>
    <w:p w14:paraId="40493257" w14:textId="77777777" w:rsidR="009101E1" w:rsidRPr="00AD1560" w:rsidRDefault="009101E1" w:rsidP="009101E1">
      <w:pPr>
        <w:pStyle w:val="VDWCbullet1"/>
      </w:pPr>
      <w:r w:rsidRPr="00AD1560">
        <w:t>We treat everyone with respect, listening to all parties involved.</w:t>
      </w:r>
    </w:p>
    <w:p w14:paraId="531D0367" w14:textId="77777777" w:rsidR="009101E1" w:rsidRPr="00AD1560" w:rsidRDefault="009101E1" w:rsidP="009101E1">
      <w:pPr>
        <w:pStyle w:val="VDWCbullet1"/>
      </w:pPr>
      <w:r w:rsidRPr="00AD1560">
        <w:t>We do what we say we will do and take proportionate action.</w:t>
      </w:r>
    </w:p>
    <w:p w14:paraId="1B18716B" w14:textId="77777777" w:rsidR="009101E1" w:rsidRPr="00AD1560" w:rsidRDefault="009101E1" w:rsidP="009101E1">
      <w:pPr>
        <w:pStyle w:val="VDWCbullet1"/>
      </w:pPr>
      <w:r w:rsidRPr="00AD1560">
        <w:t>The community sees our processes and decisions as independent and transparent.</w:t>
      </w:r>
    </w:p>
    <w:p w14:paraId="13C3D809" w14:textId="77777777" w:rsidR="009101E1" w:rsidRPr="00AD1560" w:rsidRDefault="009101E1" w:rsidP="005241C5">
      <w:pPr>
        <w:pStyle w:val="Heading2"/>
      </w:pPr>
      <w:bookmarkStart w:id="13" w:name="_Toc115983184"/>
      <w:r w:rsidRPr="00AD1560">
        <w:t>Fearless and accountable</w:t>
      </w:r>
      <w:bookmarkEnd w:id="13"/>
    </w:p>
    <w:p w14:paraId="5B4393A8" w14:textId="77777777" w:rsidR="009101E1" w:rsidRPr="00AD1560" w:rsidRDefault="009101E1" w:rsidP="009101E1">
      <w:pPr>
        <w:pStyle w:val="VDWCbullet1"/>
      </w:pPr>
      <w:r w:rsidRPr="00AD1560">
        <w:t>We use our powers to hold others accountable for their actions.</w:t>
      </w:r>
    </w:p>
    <w:p w14:paraId="4A846B53" w14:textId="77777777" w:rsidR="009101E1" w:rsidRPr="00AD1560" w:rsidRDefault="009101E1" w:rsidP="009101E1">
      <w:pPr>
        <w:pStyle w:val="VDWCbullet1"/>
      </w:pPr>
      <w:r w:rsidRPr="00AD1560">
        <w:t>We are responsible for our actions and are open to scrutiny and feedback.</w:t>
      </w:r>
    </w:p>
    <w:p w14:paraId="55161A14" w14:textId="77777777" w:rsidR="009101E1" w:rsidRPr="00AD1560" w:rsidRDefault="009101E1" w:rsidP="009101E1">
      <w:pPr>
        <w:pStyle w:val="VDWCbullet1"/>
      </w:pPr>
      <w:r w:rsidRPr="00AD1560">
        <w:t>We continually evaluate and improve our operations.</w:t>
      </w:r>
    </w:p>
    <w:p w14:paraId="4BF363AE" w14:textId="77777777" w:rsidR="009101E1" w:rsidRPr="00AD1560" w:rsidRDefault="009101E1" w:rsidP="005241C5">
      <w:pPr>
        <w:pStyle w:val="Heading2"/>
      </w:pPr>
      <w:bookmarkStart w:id="14" w:name="_Toc115983185"/>
      <w:r w:rsidRPr="00AD1560">
        <w:t>Trust and respect</w:t>
      </w:r>
      <w:bookmarkEnd w:id="14"/>
    </w:p>
    <w:p w14:paraId="5343F210" w14:textId="77777777" w:rsidR="009101E1" w:rsidRPr="00AD1560" w:rsidRDefault="009101E1" w:rsidP="009101E1">
      <w:pPr>
        <w:pStyle w:val="VDWCbullet1"/>
      </w:pPr>
      <w:r w:rsidRPr="00AD1560">
        <w:t>We are respectful and professional with colleagues and the community.</w:t>
      </w:r>
    </w:p>
    <w:p w14:paraId="70AA2035" w14:textId="77777777" w:rsidR="009101E1" w:rsidRPr="00AD1560" w:rsidRDefault="009101E1" w:rsidP="009101E1">
      <w:pPr>
        <w:pStyle w:val="VDWCbullet1"/>
      </w:pPr>
      <w:r w:rsidRPr="00AD1560">
        <w:t>We foster trust by assessing matters impartially.</w:t>
      </w:r>
    </w:p>
    <w:p w14:paraId="49A28DA2" w14:textId="77777777" w:rsidR="009101E1" w:rsidRPr="00AD1560" w:rsidRDefault="009101E1" w:rsidP="009101E1">
      <w:pPr>
        <w:pStyle w:val="VDWCbullet1"/>
      </w:pPr>
      <w:r w:rsidRPr="00AD1560">
        <w:t>We have confidence in and are respectful of each other’s skills and capabilities.</w:t>
      </w:r>
    </w:p>
    <w:p w14:paraId="7C206DC5" w14:textId="77777777" w:rsidR="009101E1" w:rsidRPr="00AD1560" w:rsidRDefault="009101E1" w:rsidP="005241C5">
      <w:pPr>
        <w:pStyle w:val="Heading2"/>
      </w:pPr>
      <w:bookmarkStart w:id="15" w:name="_Toc115983186"/>
      <w:r w:rsidRPr="00AD1560">
        <w:t>Empathy and dignity</w:t>
      </w:r>
      <w:bookmarkEnd w:id="15"/>
    </w:p>
    <w:p w14:paraId="03200A51" w14:textId="77777777" w:rsidR="009101E1" w:rsidRPr="00AD1560" w:rsidRDefault="009101E1" w:rsidP="009101E1">
      <w:pPr>
        <w:pStyle w:val="VDWCbullet1"/>
      </w:pPr>
      <w:r w:rsidRPr="00AD1560">
        <w:t>We take a person-centred approach to everything we do.</w:t>
      </w:r>
    </w:p>
    <w:p w14:paraId="7F3880B1" w14:textId="77777777" w:rsidR="009101E1" w:rsidRPr="00AD1560" w:rsidRDefault="009101E1" w:rsidP="009101E1">
      <w:pPr>
        <w:pStyle w:val="VDWCbullet1"/>
      </w:pPr>
      <w:r w:rsidRPr="00AD1560">
        <w:t>We ask people what they need from us and how we can work with them.</w:t>
      </w:r>
    </w:p>
    <w:p w14:paraId="35ADFA25" w14:textId="77777777" w:rsidR="009101E1" w:rsidRPr="00AD1560" w:rsidRDefault="009101E1" w:rsidP="009101E1">
      <w:pPr>
        <w:pStyle w:val="VDWCbullet1"/>
      </w:pPr>
      <w:r w:rsidRPr="00AD1560">
        <w:t>We are responsive and flexible to support the diverse communities and people we serve.</w:t>
      </w:r>
    </w:p>
    <w:p w14:paraId="5886B484" w14:textId="77777777" w:rsidR="0010661E" w:rsidRPr="00AD1560" w:rsidRDefault="0010661E" w:rsidP="005241C5">
      <w:pPr>
        <w:pStyle w:val="VDWCbody"/>
        <w:rPr>
          <w:color w:val="1D1937"/>
          <w:sz w:val="28"/>
          <w:szCs w:val="28"/>
        </w:rPr>
      </w:pPr>
      <w:bookmarkStart w:id="16" w:name="_Victorian_Disability_Worker"/>
      <w:bookmarkEnd w:id="16"/>
      <w:r w:rsidRPr="00AD1560">
        <w:br w:type="page"/>
      </w:r>
    </w:p>
    <w:p w14:paraId="7B01C360" w14:textId="7B01E1F7" w:rsidR="00702704" w:rsidRPr="00AD1560" w:rsidRDefault="00990DEF" w:rsidP="00990DEF">
      <w:pPr>
        <w:pStyle w:val="Heading1"/>
      </w:pPr>
      <w:bookmarkStart w:id="17" w:name="_Victorian_Disability_Worker_1"/>
      <w:bookmarkStart w:id="18" w:name="_Disability_Worker_Registration"/>
      <w:bookmarkStart w:id="19" w:name="_Governance_and_organisational"/>
      <w:bookmarkStart w:id="20" w:name="_Our_Scheme_strategic"/>
      <w:bookmarkStart w:id="21" w:name="_Toc115983187"/>
      <w:bookmarkEnd w:id="17"/>
      <w:bookmarkEnd w:id="18"/>
      <w:bookmarkEnd w:id="19"/>
      <w:bookmarkEnd w:id="20"/>
      <w:r w:rsidRPr="00AD1560">
        <w:lastRenderedPageBreak/>
        <w:t>Our Scheme strategic plan</w:t>
      </w:r>
      <w:r w:rsidR="00C51807" w:rsidRPr="00AD1560">
        <w:t xml:space="preserve"> 2022</w:t>
      </w:r>
      <w:r w:rsidR="0013643C" w:rsidRPr="00AD1560">
        <w:t xml:space="preserve"> to </w:t>
      </w:r>
      <w:r w:rsidR="006D6EC1" w:rsidRPr="00AD1560">
        <w:t>20</w:t>
      </w:r>
      <w:r w:rsidR="00C51807" w:rsidRPr="00AD1560">
        <w:t>24</w:t>
      </w:r>
      <w:bookmarkEnd w:id="21"/>
    </w:p>
    <w:p w14:paraId="374F8DE9" w14:textId="0391622A" w:rsidR="005241C5" w:rsidRPr="00AD1560" w:rsidRDefault="005241C5" w:rsidP="005241C5">
      <w:pPr>
        <w:pStyle w:val="Heading2"/>
      </w:pPr>
      <w:bookmarkStart w:id="22" w:name="_Toc115983188"/>
      <w:r w:rsidRPr="00AD1560">
        <w:t>Our maturity model</w:t>
      </w:r>
      <w:bookmarkEnd w:id="22"/>
    </w:p>
    <w:p w14:paraId="1B7EA5BB" w14:textId="2FE46245" w:rsidR="005241C5" w:rsidRPr="00AD1560" w:rsidRDefault="005241C5" w:rsidP="005241C5">
      <w:pPr>
        <w:pStyle w:val="VDWCbody"/>
      </w:pPr>
      <w:r w:rsidRPr="00AD1560">
        <w:t>As a new organisation we have to be conscious that our journey recently began, and that maturation requires time and effort. With this in mind we have designed an ambitious four-phase model to ensure that by 2024 we can operate at the same level of any established organisation.</w:t>
      </w:r>
    </w:p>
    <w:p w14:paraId="142E696B" w14:textId="4928F6BE" w:rsidR="009031FF" w:rsidRPr="00AD1560" w:rsidRDefault="009031FF" w:rsidP="002956FB">
      <w:pPr>
        <w:pStyle w:val="VDWCfigurecaption"/>
      </w:pPr>
      <w:r w:rsidRPr="00AD1560">
        <w:t xml:space="preserve">Figure </w:t>
      </w:r>
      <w:r w:rsidR="00DB73FF">
        <w:fldChar w:fldCharType="begin"/>
      </w:r>
      <w:r w:rsidR="00DB73FF">
        <w:instrText xml:space="preserve"> SEQ Figure \* ARABIC </w:instrText>
      </w:r>
      <w:r w:rsidR="00DB73FF">
        <w:fldChar w:fldCharType="separate"/>
      </w:r>
      <w:r w:rsidRPr="00AD1560">
        <w:rPr>
          <w:noProof/>
        </w:rPr>
        <w:t>2</w:t>
      </w:r>
      <w:r w:rsidR="00DB73FF">
        <w:rPr>
          <w:noProof/>
        </w:rPr>
        <w:fldChar w:fldCharType="end"/>
      </w:r>
      <w:r w:rsidRPr="00AD1560">
        <w:t>: Maturity model</w:t>
      </w:r>
    </w:p>
    <w:p w14:paraId="679AB972" w14:textId="1D0A22D7" w:rsidR="00210D69" w:rsidRPr="00AD1560" w:rsidRDefault="00210D69" w:rsidP="005241C5">
      <w:pPr>
        <w:pStyle w:val="VDWCbody"/>
      </w:pPr>
      <w:r w:rsidRPr="00AD1560">
        <w:rPr>
          <w:noProof/>
        </w:rPr>
        <w:drawing>
          <wp:inline distT="0" distB="0" distL="0" distR="0" wp14:anchorId="28E7516C" wp14:editId="1D93EC3D">
            <wp:extent cx="6085509" cy="731899"/>
            <wp:effectExtent l="0" t="0" r="0" b="5080"/>
            <wp:docPr id="4" name="Picture 4" descr="Phases of the maturity model. Text description is in Table 1 (afte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ases of the maturity model. Text description is in Table 1 (after this image)."/>
                    <pic:cNvPicPr/>
                  </pic:nvPicPr>
                  <pic:blipFill>
                    <a:blip r:embed="rId29"/>
                    <a:stretch>
                      <a:fillRect/>
                    </a:stretch>
                  </pic:blipFill>
                  <pic:spPr>
                    <a:xfrm>
                      <a:off x="0" y="0"/>
                      <a:ext cx="6085509" cy="731899"/>
                    </a:xfrm>
                    <a:prstGeom prst="rect">
                      <a:avLst/>
                    </a:prstGeom>
                  </pic:spPr>
                </pic:pic>
              </a:graphicData>
            </a:graphic>
          </wp:inline>
        </w:drawing>
      </w:r>
    </w:p>
    <w:p w14:paraId="25C4D34A" w14:textId="3AA9B9FE" w:rsidR="0010302C" w:rsidRPr="00AD1560" w:rsidRDefault="0010302C" w:rsidP="0010302C">
      <w:pPr>
        <w:pStyle w:val="VDWCtablecaption"/>
      </w:pPr>
      <w:r w:rsidRPr="00AD1560">
        <w:t xml:space="preserve">Table </w:t>
      </w:r>
      <w:r w:rsidR="00DB73FF">
        <w:fldChar w:fldCharType="begin"/>
      </w:r>
      <w:r w:rsidR="00DB73FF">
        <w:instrText xml:space="preserve"> SEQ Table \* ARABIC </w:instrText>
      </w:r>
      <w:r w:rsidR="00DB73FF">
        <w:fldChar w:fldCharType="separate"/>
      </w:r>
      <w:r w:rsidR="000A5B6F" w:rsidRPr="00AD1560">
        <w:rPr>
          <w:noProof/>
        </w:rPr>
        <w:t>1</w:t>
      </w:r>
      <w:r w:rsidR="00DB73FF">
        <w:rPr>
          <w:noProof/>
        </w:rPr>
        <w:fldChar w:fldCharType="end"/>
      </w:r>
      <w:r w:rsidRPr="00AD1560">
        <w:t>: Phases of the maturity model</w:t>
      </w:r>
    </w:p>
    <w:tbl>
      <w:tblPr>
        <w:tblStyle w:val="Tealtable"/>
        <w:tblW w:w="0" w:type="auto"/>
        <w:tblInd w:w="5" w:type="dxa"/>
        <w:tblLook w:val="04A0" w:firstRow="1" w:lastRow="0" w:firstColumn="1" w:lastColumn="0" w:noHBand="0" w:noVBand="1"/>
      </w:tblPr>
      <w:tblGrid>
        <w:gridCol w:w="1838"/>
        <w:gridCol w:w="7450"/>
      </w:tblGrid>
      <w:tr w:rsidR="004B18DF" w:rsidRPr="00AD1560" w14:paraId="2EDF1538" w14:textId="77777777" w:rsidTr="002956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78CF51A" w14:textId="7B5E3A49" w:rsidR="004B18DF" w:rsidRPr="00AD1560" w:rsidRDefault="004B18DF" w:rsidP="002956FB">
            <w:pPr>
              <w:pStyle w:val="VDWCtablecolhead"/>
              <w:rPr>
                <w:lang w:val="en-AU"/>
              </w:rPr>
            </w:pPr>
            <w:r w:rsidRPr="00AD1560">
              <w:rPr>
                <w:rFonts w:eastAsia="Times New Roman"/>
                <w:lang w:val="en-AU"/>
              </w:rPr>
              <w:t>Year</w:t>
            </w:r>
          </w:p>
        </w:tc>
        <w:tc>
          <w:tcPr>
            <w:tcW w:w="7450" w:type="dxa"/>
          </w:tcPr>
          <w:p w14:paraId="45A3902E" w14:textId="5B62D884" w:rsidR="004B18DF" w:rsidRPr="00AD1560" w:rsidRDefault="004B18DF" w:rsidP="002956FB">
            <w:pPr>
              <w:pStyle w:val="VDWCtablecolhead"/>
              <w:cnfStyle w:val="100000000000" w:firstRow="1" w:lastRow="0" w:firstColumn="0" w:lastColumn="0" w:oddVBand="0" w:evenVBand="0" w:oddHBand="0" w:evenHBand="0" w:firstRowFirstColumn="0" w:firstRowLastColumn="0" w:lastRowFirstColumn="0" w:lastRowLastColumn="0"/>
              <w:rPr>
                <w:lang w:val="en-AU"/>
              </w:rPr>
            </w:pPr>
            <w:r w:rsidRPr="00AD1560">
              <w:rPr>
                <w:rFonts w:eastAsia="Times New Roman"/>
                <w:lang w:val="en-AU"/>
              </w:rPr>
              <w:t>Phase</w:t>
            </w:r>
          </w:p>
        </w:tc>
      </w:tr>
      <w:tr w:rsidR="004B18DF" w:rsidRPr="00AD1560" w14:paraId="43A58E66"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3DDD63" w14:textId="244AC098" w:rsidR="004B18DF" w:rsidRPr="00AD1560" w:rsidRDefault="004B18DF" w:rsidP="000A5C98">
            <w:pPr>
              <w:pStyle w:val="VDWCtabletext"/>
              <w:rPr>
                <w:lang w:val="en-AU"/>
              </w:rPr>
            </w:pPr>
            <w:r w:rsidRPr="00AD1560">
              <w:rPr>
                <w:lang w:val="en-AU"/>
              </w:rPr>
              <w:t>2020 to 2022</w:t>
            </w:r>
          </w:p>
        </w:tc>
        <w:tc>
          <w:tcPr>
            <w:tcW w:w="7450" w:type="dxa"/>
          </w:tcPr>
          <w:p w14:paraId="0224FC80" w14:textId="77777777" w:rsidR="004B18DF" w:rsidRPr="00AD1560" w:rsidRDefault="004B18DF" w:rsidP="000A5C98">
            <w:pPr>
              <w:pStyle w:val="VDWCtabletext"/>
              <w:cnfStyle w:val="000000100000" w:firstRow="0" w:lastRow="0" w:firstColumn="0" w:lastColumn="0" w:oddVBand="0" w:evenVBand="0" w:oddHBand="1" w:evenHBand="0" w:firstRowFirstColumn="0" w:firstRowLastColumn="0" w:lastRowFirstColumn="0" w:lastRowLastColumn="0"/>
              <w:rPr>
                <w:b/>
                <w:bCs/>
                <w:lang w:val="en-AU"/>
              </w:rPr>
            </w:pPr>
            <w:r w:rsidRPr="00AD1560">
              <w:rPr>
                <w:b/>
                <w:bCs/>
                <w:lang w:val="en-AU"/>
              </w:rPr>
              <w:t>Phase 1: Foundational</w:t>
            </w:r>
          </w:p>
          <w:p w14:paraId="4362E2DA" w14:textId="5FF77A7D" w:rsidR="004B18DF" w:rsidRPr="00AD1560" w:rsidRDefault="004B18DF" w:rsidP="000A5C98">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The focus of this first phase is to prepare and develop foundational pieces that allow for initial operation.</w:t>
            </w:r>
          </w:p>
        </w:tc>
      </w:tr>
      <w:tr w:rsidR="004B18DF" w:rsidRPr="00AD1560" w14:paraId="30E5D1C3"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54CAA7" w14:textId="7557D205" w:rsidR="004B18DF" w:rsidRPr="00AD1560" w:rsidRDefault="004B18DF" w:rsidP="000A5C98">
            <w:pPr>
              <w:pStyle w:val="VDWCtabletext"/>
              <w:rPr>
                <w:lang w:val="en-AU"/>
              </w:rPr>
            </w:pPr>
            <w:r w:rsidRPr="00AD1560">
              <w:rPr>
                <w:lang w:val="en-AU"/>
              </w:rPr>
              <w:t>2022 to 2023</w:t>
            </w:r>
          </w:p>
        </w:tc>
        <w:tc>
          <w:tcPr>
            <w:tcW w:w="7450" w:type="dxa"/>
          </w:tcPr>
          <w:p w14:paraId="0E9F2426" w14:textId="77777777" w:rsidR="00C51807" w:rsidRPr="00AD1560" w:rsidRDefault="004B18DF" w:rsidP="000A5C98">
            <w:pPr>
              <w:pStyle w:val="VDWCtabletext"/>
              <w:cnfStyle w:val="000000010000" w:firstRow="0" w:lastRow="0" w:firstColumn="0" w:lastColumn="0" w:oddVBand="0" w:evenVBand="0" w:oddHBand="0" w:evenHBand="1" w:firstRowFirstColumn="0" w:firstRowLastColumn="0" w:lastRowFirstColumn="0" w:lastRowLastColumn="0"/>
              <w:rPr>
                <w:b/>
                <w:bCs/>
                <w:lang w:val="en-AU"/>
              </w:rPr>
            </w:pPr>
            <w:r w:rsidRPr="00AD1560">
              <w:rPr>
                <w:b/>
                <w:bCs/>
                <w:lang w:val="en-AU"/>
              </w:rPr>
              <w:t>Phase 2: Establishment</w:t>
            </w:r>
          </w:p>
          <w:p w14:paraId="6CEF3C36" w14:textId="1F54ADE0" w:rsidR="004B18DF" w:rsidRPr="00AD1560" w:rsidRDefault="004B18DF" w:rsidP="000A5C98">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At this phase, the focus is to engage with our external stakeholders to collect evidence to improve our operations.</w:t>
            </w:r>
          </w:p>
        </w:tc>
      </w:tr>
      <w:tr w:rsidR="004B18DF" w:rsidRPr="00AD1560" w14:paraId="447211C4"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BAD0046" w14:textId="2B6D74EA" w:rsidR="004B18DF" w:rsidRPr="00AD1560" w:rsidRDefault="004B18DF" w:rsidP="000A5C98">
            <w:pPr>
              <w:pStyle w:val="VDWCtabletext"/>
              <w:rPr>
                <w:lang w:val="en-AU"/>
              </w:rPr>
            </w:pPr>
            <w:r w:rsidRPr="00AD1560">
              <w:rPr>
                <w:lang w:val="en-AU"/>
              </w:rPr>
              <w:t>2023 to 2024</w:t>
            </w:r>
          </w:p>
        </w:tc>
        <w:tc>
          <w:tcPr>
            <w:tcW w:w="7450" w:type="dxa"/>
          </w:tcPr>
          <w:p w14:paraId="565371E4" w14:textId="77777777" w:rsidR="00C51807" w:rsidRPr="00AD1560" w:rsidRDefault="004B18DF" w:rsidP="000A5C98">
            <w:pPr>
              <w:pStyle w:val="VDWCtabletext"/>
              <w:cnfStyle w:val="000000100000" w:firstRow="0" w:lastRow="0" w:firstColumn="0" w:lastColumn="0" w:oddVBand="0" w:evenVBand="0" w:oddHBand="1" w:evenHBand="0" w:firstRowFirstColumn="0" w:firstRowLastColumn="0" w:lastRowFirstColumn="0" w:lastRowLastColumn="0"/>
              <w:rPr>
                <w:b/>
                <w:bCs/>
                <w:lang w:val="en-AU"/>
              </w:rPr>
            </w:pPr>
            <w:r w:rsidRPr="00AD1560">
              <w:rPr>
                <w:b/>
                <w:bCs/>
                <w:lang w:val="en-AU"/>
              </w:rPr>
              <w:t>Phase 3: Consolidation</w:t>
            </w:r>
          </w:p>
          <w:p w14:paraId="36F086D9" w14:textId="008DADDC" w:rsidR="004B18DF" w:rsidRPr="00AD1560" w:rsidRDefault="004B18DF" w:rsidP="000A5C98">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The focus of this phase is to consolidate our way of operating and assess how far we have come in implementing the scheme.</w:t>
            </w:r>
          </w:p>
        </w:tc>
      </w:tr>
      <w:tr w:rsidR="004B18DF" w:rsidRPr="00AD1560" w14:paraId="285728C0"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7206B5C" w14:textId="4E82F4B7" w:rsidR="004B18DF" w:rsidRPr="00AD1560" w:rsidRDefault="004B18DF" w:rsidP="000A5C98">
            <w:pPr>
              <w:pStyle w:val="VDWCtabletext"/>
              <w:rPr>
                <w:lang w:val="en-AU"/>
              </w:rPr>
            </w:pPr>
            <w:r w:rsidRPr="00AD1560">
              <w:rPr>
                <w:lang w:val="en-AU"/>
              </w:rPr>
              <w:t>2024 onwards</w:t>
            </w:r>
          </w:p>
        </w:tc>
        <w:tc>
          <w:tcPr>
            <w:tcW w:w="7450" w:type="dxa"/>
          </w:tcPr>
          <w:p w14:paraId="72BA94D3" w14:textId="77777777" w:rsidR="004B18DF" w:rsidRPr="00AD1560" w:rsidRDefault="004B18DF" w:rsidP="000A5C98">
            <w:pPr>
              <w:pStyle w:val="VDWCtabletext"/>
              <w:cnfStyle w:val="000000010000" w:firstRow="0" w:lastRow="0" w:firstColumn="0" w:lastColumn="0" w:oddVBand="0" w:evenVBand="0" w:oddHBand="0" w:evenHBand="1" w:firstRowFirstColumn="0" w:firstRowLastColumn="0" w:lastRowFirstColumn="0" w:lastRowLastColumn="0"/>
              <w:rPr>
                <w:b/>
                <w:bCs/>
                <w:lang w:val="en-AU"/>
              </w:rPr>
            </w:pPr>
            <w:r w:rsidRPr="00AD1560">
              <w:rPr>
                <w:b/>
                <w:bCs/>
                <w:lang w:val="en-AU"/>
              </w:rPr>
              <w:t>Phase 4: Continuous improvement</w:t>
            </w:r>
          </w:p>
          <w:p w14:paraId="61C39C7C" w14:textId="7AEC46AE" w:rsidR="004B18DF" w:rsidRPr="00AD1560" w:rsidRDefault="004B18DF" w:rsidP="000A5C98">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At this phase, our operating model has been consolidated and ongoing changes are made based on key performance indicators.</w:t>
            </w:r>
          </w:p>
        </w:tc>
      </w:tr>
    </w:tbl>
    <w:p w14:paraId="38F01150" w14:textId="6B904D00" w:rsidR="004B18DF" w:rsidRPr="00AD1560" w:rsidRDefault="004B18DF" w:rsidP="004B18DF">
      <w:pPr>
        <w:pStyle w:val="Heading2"/>
      </w:pPr>
      <w:bookmarkStart w:id="23" w:name="_Ref115791478"/>
      <w:bookmarkStart w:id="24" w:name="_Toc115983189"/>
      <w:r w:rsidRPr="00AD1560">
        <w:t>Scheme strategic plan 2022</w:t>
      </w:r>
      <w:r w:rsidR="0010302C" w:rsidRPr="00AD1560">
        <w:t xml:space="preserve"> to </w:t>
      </w:r>
      <w:r w:rsidRPr="00AD1560">
        <w:t>2024</w:t>
      </w:r>
      <w:bookmarkEnd w:id="23"/>
      <w:bookmarkEnd w:id="24"/>
    </w:p>
    <w:p w14:paraId="485E4EE7" w14:textId="77777777" w:rsidR="0010302C" w:rsidRPr="00AD1560" w:rsidRDefault="004B18DF" w:rsidP="004B18DF">
      <w:pPr>
        <w:pStyle w:val="VDWCbody"/>
      </w:pPr>
      <w:r w:rsidRPr="00AD1560">
        <w:t xml:space="preserve">In 2022, the Commission and Board worked together to create a Scheme </w:t>
      </w:r>
      <w:r w:rsidR="00C51807" w:rsidRPr="00AD1560">
        <w:t>s</w:t>
      </w:r>
      <w:r w:rsidRPr="00AD1560">
        <w:t xml:space="preserve">trategic </w:t>
      </w:r>
      <w:r w:rsidR="00C51807" w:rsidRPr="00AD1560">
        <w:t>p</w:t>
      </w:r>
      <w:r w:rsidRPr="00AD1560">
        <w:t>lan. The plan has five pillars in total</w:t>
      </w:r>
      <w:r w:rsidR="0010302C" w:rsidRPr="00AD1560">
        <w:t>:</w:t>
      </w:r>
    </w:p>
    <w:p w14:paraId="72B31E64" w14:textId="05B9BE96" w:rsidR="0010302C" w:rsidRPr="00AD1560" w:rsidRDefault="004B18DF" w:rsidP="0010302C">
      <w:pPr>
        <w:pStyle w:val="VDWCbullet1"/>
      </w:pPr>
      <w:r w:rsidRPr="00AD1560">
        <w:t>the first four representing where the Scheme needs to concentrate its efforts to support people with disability</w:t>
      </w:r>
    </w:p>
    <w:p w14:paraId="0A1741DC" w14:textId="41D13B16" w:rsidR="004B18DF" w:rsidRPr="00AD1560" w:rsidRDefault="004B18DF" w:rsidP="002956FB">
      <w:pPr>
        <w:pStyle w:val="VDWCbullet1"/>
      </w:pPr>
      <w:r w:rsidRPr="00AD1560">
        <w:t>a fifth pillar describing the crucial support required to enable the functions and delivery of pillars 1</w:t>
      </w:r>
      <w:r w:rsidR="0010302C" w:rsidRPr="00AD1560">
        <w:t xml:space="preserve"> to </w:t>
      </w:r>
      <w:r w:rsidRPr="00AD1560">
        <w:t>4</w:t>
      </w:r>
      <w:r w:rsidR="0010302C" w:rsidRPr="00AD1560">
        <w:t>,</w:t>
      </w:r>
      <w:r w:rsidRPr="00AD1560">
        <w:t xml:space="preserve"> acknowledging the relationships between the Commissioner, the Board and the Commission.</w:t>
      </w:r>
    </w:p>
    <w:p w14:paraId="72386086" w14:textId="77777777" w:rsidR="003527E7" w:rsidRPr="00AD1560" w:rsidRDefault="003527E7" w:rsidP="00990DEF">
      <w:pPr>
        <w:pStyle w:val="VDWCbody"/>
        <w:sectPr w:rsidR="003527E7" w:rsidRPr="00AD1560" w:rsidSect="009C22A3">
          <w:type w:val="continuous"/>
          <w:pgSz w:w="11906" w:h="16838"/>
          <w:pgMar w:top="1701" w:right="1304" w:bottom="1134" w:left="1304" w:header="454" w:footer="510" w:gutter="0"/>
          <w:cols w:space="720"/>
          <w:docGrid w:linePitch="360"/>
        </w:sectPr>
      </w:pPr>
    </w:p>
    <w:p w14:paraId="77DBF6C1" w14:textId="12D4967C" w:rsidR="00B344FB" w:rsidRPr="00AD1560" w:rsidRDefault="00B344FB" w:rsidP="0010661E">
      <w:pPr>
        <w:pStyle w:val="VDWCfigurecaption"/>
      </w:pPr>
      <w:r w:rsidRPr="00AD1560">
        <w:lastRenderedPageBreak/>
        <w:t xml:space="preserve">Figure </w:t>
      </w:r>
      <w:r w:rsidR="00DB73FF">
        <w:fldChar w:fldCharType="begin"/>
      </w:r>
      <w:r w:rsidR="00DB73FF">
        <w:instrText xml:space="preserve"> SEQ Figure \* ARABIC </w:instrText>
      </w:r>
      <w:r w:rsidR="00DB73FF">
        <w:fldChar w:fldCharType="separate"/>
      </w:r>
      <w:r w:rsidR="009031FF" w:rsidRPr="00AD1560">
        <w:rPr>
          <w:noProof/>
        </w:rPr>
        <w:t>3</w:t>
      </w:r>
      <w:r w:rsidR="00DB73FF">
        <w:rPr>
          <w:noProof/>
        </w:rPr>
        <w:fldChar w:fldCharType="end"/>
      </w:r>
      <w:r w:rsidRPr="00AD1560">
        <w:t>: Our strategic plan 2022 to 2024</w:t>
      </w:r>
      <w:r w:rsidR="00C51807" w:rsidRPr="00AD1560">
        <w:t xml:space="preserve"> on a page</w:t>
      </w:r>
    </w:p>
    <w:p w14:paraId="4C96308A" w14:textId="77777777" w:rsidR="003527E7" w:rsidRPr="00AD1560" w:rsidRDefault="00B344FB" w:rsidP="00990DEF">
      <w:pPr>
        <w:pStyle w:val="VDWCbody"/>
        <w:sectPr w:rsidR="003527E7" w:rsidRPr="00AD1560" w:rsidSect="00B344FB">
          <w:pgSz w:w="16838" w:h="11906" w:orient="landscape"/>
          <w:pgMar w:top="1304" w:right="1134" w:bottom="1304" w:left="1701" w:header="454" w:footer="510" w:gutter="0"/>
          <w:cols w:space="720"/>
          <w:docGrid w:linePitch="360"/>
        </w:sectPr>
      </w:pPr>
      <w:r w:rsidRPr="00AD1560">
        <w:rPr>
          <w:noProof/>
        </w:rPr>
        <w:drawing>
          <wp:inline distT="0" distB="0" distL="0" distR="0" wp14:anchorId="46D524E0" wp14:editId="18C50F81">
            <wp:extent cx="8716936" cy="5326912"/>
            <wp:effectExtent l="0" t="0" r="0" b="0"/>
            <wp:docPr id="12" name="Picture 12" descr="Summary of Scheme strategic plan on one page. Vision, purpose, guiding principles, outcomes and work priorities for each the five pillars are described in full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ummary of Scheme strategic plan on one page. Vision, purpose, guiding principles, outcomes and work priorities for each the five pillars are described in full in Appendix 1."/>
                    <pic:cNvPicPr/>
                  </pic:nvPicPr>
                  <pic:blipFill>
                    <a:blip r:embed="rId30"/>
                    <a:stretch>
                      <a:fillRect/>
                    </a:stretch>
                  </pic:blipFill>
                  <pic:spPr>
                    <a:xfrm>
                      <a:off x="0" y="0"/>
                      <a:ext cx="8815879" cy="5387376"/>
                    </a:xfrm>
                    <a:prstGeom prst="rect">
                      <a:avLst/>
                    </a:prstGeom>
                  </pic:spPr>
                </pic:pic>
              </a:graphicData>
            </a:graphic>
          </wp:inline>
        </w:drawing>
      </w:r>
    </w:p>
    <w:p w14:paraId="05FD8FF8" w14:textId="009DBE36" w:rsidR="004B18DF" w:rsidRPr="00AD1560" w:rsidRDefault="004B18DF" w:rsidP="00064338">
      <w:pPr>
        <w:pStyle w:val="Heading1"/>
      </w:pPr>
      <w:bookmarkStart w:id="25" w:name="_Toc115983190"/>
      <w:r w:rsidRPr="00AD1560">
        <w:lastRenderedPageBreak/>
        <w:t>Our focus for 2022</w:t>
      </w:r>
      <w:r w:rsidR="00DB5FA4" w:rsidRPr="00AD1560">
        <w:t xml:space="preserve"> to 20</w:t>
      </w:r>
      <w:r w:rsidRPr="00AD1560">
        <w:t>23</w:t>
      </w:r>
      <w:bookmarkEnd w:id="25"/>
    </w:p>
    <w:p w14:paraId="2645CCD5" w14:textId="7571EB26" w:rsidR="00DB5FA4" w:rsidRPr="00AD1560" w:rsidRDefault="004B18DF" w:rsidP="002956FB">
      <w:pPr>
        <w:pStyle w:val="Introtext"/>
      </w:pPr>
      <w:r w:rsidRPr="00AD1560">
        <w:t>A significant proportion of our resources dedicated to delivering the Scheme are allocated to core regulatory and enabling functions</w:t>
      </w:r>
      <w:r w:rsidR="00DB5FA4" w:rsidRPr="00AD1560">
        <w:t>,</w:t>
      </w:r>
      <w:r w:rsidRPr="00AD1560">
        <w:t xml:space="preserve"> as shown in </w:t>
      </w:r>
      <w:r w:rsidR="00DB5FA4" w:rsidRPr="00AD1560">
        <w:rPr>
          <w:b/>
          <w:bCs/>
        </w:rPr>
        <w:fldChar w:fldCharType="begin"/>
      </w:r>
      <w:r w:rsidR="00DB5FA4" w:rsidRPr="00AD1560">
        <w:rPr>
          <w:b/>
          <w:bCs/>
        </w:rPr>
        <w:instrText xml:space="preserve"> REF _Ref115777419 \h  \* MERGEFORMAT </w:instrText>
      </w:r>
      <w:r w:rsidR="00DB5FA4" w:rsidRPr="00AD1560">
        <w:rPr>
          <w:b/>
          <w:bCs/>
        </w:rPr>
      </w:r>
      <w:r w:rsidR="00DB5FA4" w:rsidRPr="00AD1560">
        <w:rPr>
          <w:b/>
          <w:bCs/>
        </w:rPr>
        <w:fldChar w:fldCharType="separate"/>
      </w:r>
      <w:r w:rsidR="00DB5FA4" w:rsidRPr="00AD1560">
        <w:rPr>
          <w:b/>
          <w:bCs/>
        </w:rPr>
        <w:t xml:space="preserve">Table </w:t>
      </w:r>
      <w:r w:rsidR="00DB5FA4" w:rsidRPr="00AD1560">
        <w:rPr>
          <w:b/>
          <w:bCs/>
          <w:noProof/>
        </w:rPr>
        <w:t>2</w:t>
      </w:r>
      <w:r w:rsidR="00DB5FA4" w:rsidRPr="00AD1560">
        <w:rPr>
          <w:b/>
          <w:bCs/>
        </w:rPr>
        <w:fldChar w:fldCharType="end"/>
      </w:r>
      <w:r w:rsidRPr="00AD1560">
        <w:t>.</w:t>
      </w:r>
    </w:p>
    <w:p w14:paraId="3F35C776" w14:textId="2E5711AF" w:rsidR="004B18DF" w:rsidRPr="00AD1560" w:rsidRDefault="004B18DF" w:rsidP="004B18DF">
      <w:pPr>
        <w:pStyle w:val="VDWCbody"/>
      </w:pPr>
      <w:r w:rsidRPr="00AD1560">
        <w:t>At this stage in our maturity journey, many of these functions correspond to completing foundational work.</w:t>
      </w:r>
    </w:p>
    <w:p w14:paraId="0D31E17F" w14:textId="77777777" w:rsidR="004B18DF" w:rsidRPr="00AD1560" w:rsidRDefault="004B18DF" w:rsidP="004B18DF">
      <w:pPr>
        <w:pStyle w:val="VDWCbody"/>
      </w:pPr>
      <w:r w:rsidRPr="00AD1560">
        <w:t>Our key priorities for this financial year are to respond efficiently to the growing number of complaints and notifications regarding unsafe or poor-quality disability services. This reflects the maturity of the Scheme and the increasing number of people who use disability services as well as a growth in the number of registered disability support workers and practitioners.</w:t>
      </w:r>
    </w:p>
    <w:p w14:paraId="3AE782DF" w14:textId="7D7EF276" w:rsidR="004B18DF" w:rsidRPr="00AD1560" w:rsidRDefault="00DB5FA4" w:rsidP="004B18DF">
      <w:pPr>
        <w:pStyle w:val="VDWCbody"/>
      </w:pPr>
      <w:r w:rsidRPr="00AD1560">
        <w:rPr>
          <w:b/>
          <w:bCs/>
        </w:rPr>
        <w:fldChar w:fldCharType="begin"/>
      </w:r>
      <w:r w:rsidRPr="00AD1560">
        <w:rPr>
          <w:b/>
          <w:bCs/>
        </w:rPr>
        <w:instrText xml:space="preserve"> REF _Ref115777435 \h  \* MERGEFORMAT </w:instrText>
      </w:r>
      <w:r w:rsidRPr="00AD1560">
        <w:rPr>
          <w:b/>
          <w:bCs/>
        </w:rPr>
      </w:r>
      <w:r w:rsidRPr="00AD1560">
        <w:rPr>
          <w:b/>
          <w:bCs/>
        </w:rPr>
        <w:fldChar w:fldCharType="separate"/>
      </w:r>
      <w:r w:rsidRPr="00AD1560">
        <w:rPr>
          <w:b/>
          <w:bCs/>
        </w:rPr>
        <w:t xml:space="preserve">Table </w:t>
      </w:r>
      <w:r w:rsidRPr="00AD1560">
        <w:rPr>
          <w:b/>
          <w:bCs/>
          <w:noProof/>
        </w:rPr>
        <w:t>3</w:t>
      </w:r>
      <w:r w:rsidRPr="00AD1560">
        <w:rPr>
          <w:b/>
          <w:bCs/>
        </w:rPr>
        <w:fldChar w:fldCharType="end"/>
      </w:r>
      <w:r w:rsidR="004B18DF" w:rsidRPr="00AD1560">
        <w:t xml:space="preserve"> shows our key actions</w:t>
      </w:r>
      <w:r w:rsidRPr="00AD1560">
        <w:t xml:space="preserve"> and </w:t>
      </w:r>
      <w:r w:rsidR="004B18DF" w:rsidRPr="00AD1560">
        <w:t>projects for 2022</w:t>
      </w:r>
      <w:r w:rsidR="00986A72" w:rsidRPr="00AD1560">
        <w:t>-</w:t>
      </w:r>
      <w:r w:rsidR="004B18DF" w:rsidRPr="00AD1560">
        <w:t>2023. To this end we are building our capabilities, profile and recognition in the disability sector.</w:t>
      </w:r>
    </w:p>
    <w:p w14:paraId="5E946B71" w14:textId="77777777" w:rsidR="004B18DF" w:rsidRPr="00AD1560" w:rsidRDefault="004B18DF" w:rsidP="004B18DF">
      <w:pPr>
        <w:pStyle w:val="VDWCbody"/>
      </w:pPr>
      <w:r w:rsidRPr="00AD1560">
        <w:t>Much of our actions and deliverables this year are therefore also reliant on promoting recognition and understanding of our work in the community.</w:t>
      </w:r>
    </w:p>
    <w:p w14:paraId="7EEAC45C" w14:textId="77777777" w:rsidR="004B18DF" w:rsidRPr="00AD1560" w:rsidRDefault="004B18DF" w:rsidP="004B18DF">
      <w:pPr>
        <w:pStyle w:val="VDWCbody"/>
      </w:pPr>
      <w:r w:rsidRPr="00AD1560">
        <w:t>This important work will help us to increase our profile and build community confidence in the work of the Commission and Board.</w:t>
      </w:r>
    </w:p>
    <w:p w14:paraId="25014459" w14:textId="0A2891A8" w:rsidR="004B18DF" w:rsidRPr="00AD1560" w:rsidRDefault="004B18DF" w:rsidP="004B18DF">
      <w:pPr>
        <w:pStyle w:val="VDWCbody"/>
      </w:pPr>
      <w:r w:rsidRPr="00AD1560">
        <w:t xml:space="preserve">At the same time, we plan to undertake analysis and consultation to prepare for the development and implementation of new important standards to promote the quality and recognition of disability workers registered under the </w:t>
      </w:r>
      <w:r w:rsidR="00C51807" w:rsidRPr="00AD1560">
        <w:t>S</w:t>
      </w:r>
      <w:r w:rsidRPr="00AD1560">
        <w:t>cheme.</w:t>
      </w:r>
    </w:p>
    <w:p w14:paraId="2EA541D5" w14:textId="3405EEFC" w:rsidR="00F86010" w:rsidRPr="00AD1560" w:rsidRDefault="00F86010" w:rsidP="00F86010">
      <w:pPr>
        <w:pStyle w:val="Tablecaption"/>
      </w:pPr>
      <w:bookmarkStart w:id="26" w:name="_Ref115777419"/>
      <w:r w:rsidRPr="00AD1560">
        <w:t xml:space="preserve">Table </w:t>
      </w:r>
      <w:r w:rsidR="00DB73FF">
        <w:fldChar w:fldCharType="begin"/>
      </w:r>
      <w:r w:rsidR="00DB73FF">
        <w:instrText xml:space="preserve"> SEQ Table \* ARABIC </w:instrText>
      </w:r>
      <w:r w:rsidR="00DB73FF">
        <w:fldChar w:fldCharType="separate"/>
      </w:r>
      <w:r w:rsidR="000A5B6F" w:rsidRPr="00AD1560">
        <w:rPr>
          <w:noProof/>
        </w:rPr>
        <w:t>2</w:t>
      </w:r>
      <w:r w:rsidR="00DB73FF">
        <w:rPr>
          <w:noProof/>
        </w:rPr>
        <w:fldChar w:fldCharType="end"/>
      </w:r>
      <w:bookmarkEnd w:id="26"/>
      <w:r w:rsidRPr="00AD1560">
        <w:t>: Core regulatory and enabling functions</w:t>
      </w:r>
    </w:p>
    <w:tbl>
      <w:tblPr>
        <w:tblStyle w:val="Tealtable"/>
        <w:tblW w:w="0" w:type="auto"/>
        <w:tblInd w:w="5" w:type="dxa"/>
        <w:tblLook w:val="04A0" w:firstRow="1" w:lastRow="0" w:firstColumn="1" w:lastColumn="0" w:noHBand="0" w:noVBand="1"/>
      </w:tblPr>
      <w:tblGrid>
        <w:gridCol w:w="3397"/>
        <w:gridCol w:w="5896"/>
      </w:tblGrid>
      <w:tr w:rsidR="004B18DF" w:rsidRPr="00AD1560" w14:paraId="3950990C" w14:textId="77777777" w:rsidTr="002956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2743DD5C" w14:textId="1A590347" w:rsidR="004B18DF" w:rsidRPr="00AD1560" w:rsidRDefault="00F86010" w:rsidP="002956FB">
            <w:pPr>
              <w:pStyle w:val="VDWCtablecolhead"/>
              <w:rPr>
                <w:lang w:val="en-AU"/>
              </w:rPr>
            </w:pPr>
            <w:r w:rsidRPr="00AD1560">
              <w:rPr>
                <w:rFonts w:eastAsia="Times New Roman"/>
                <w:lang w:val="en-AU"/>
              </w:rPr>
              <w:t>Pillar</w:t>
            </w:r>
          </w:p>
        </w:tc>
        <w:tc>
          <w:tcPr>
            <w:tcW w:w="5896" w:type="dxa"/>
          </w:tcPr>
          <w:p w14:paraId="718FEBA9" w14:textId="1924C54E" w:rsidR="004B18DF" w:rsidRPr="00AD1560" w:rsidRDefault="00F86010" w:rsidP="002956FB">
            <w:pPr>
              <w:pStyle w:val="VDWCtablecolhead"/>
              <w:cnfStyle w:val="100000000000" w:firstRow="1" w:lastRow="0" w:firstColumn="0" w:lastColumn="0" w:oddVBand="0" w:evenVBand="0" w:oddHBand="0" w:evenHBand="0" w:firstRowFirstColumn="0" w:firstRowLastColumn="0" w:lastRowFirstColumn="0" w:lastRowLastColumn="0"/>
              <w:rPr>
                <w:lang w:val="en-AU"/>
              </w:rPr>
            </w:pPr>
            <w:r w:rsidRPr="00AD1560">
              <w:rPr>
                <w:rFonts w:eastAsia="Times New Roman"/>
                <w:lang w:val="en-AU"/>
              </w:rPr>
              <w:t>Function</w:t>
            </w:r>
          </w:p>
        </w:tc>
      </w:tr>
      <w:tr w:rsidR="004B18DF" w:rsidRPr="00AD1560" w14:paraId="58493F3A"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40C3581" w14:textId="3EC847DA" w:rsidR="004B18DF" w:rsidRPr="00AD1560" w:rsidRDefault="00F86010" w:rsidP="000A5C98">
            <w:pPr>
              <w:pStyle w:val="VDWCtabletext"/>
              <w:rPr>
                <w:lang w:val="en-AU"/>
              </w:rPr>
            </w:pPr>
            <w:r w:rsidRPr="00AD1560">
              <w:rPr>
                <w:lang w:val="en-AU"/>
              </w:rPr>
              <w:t>Safety and compliance</w:t>
            </w:r>
          </w:p>
        </w:tc>
        <w:tc>
          <w:tcPr>
            <w:tcW w:w="5896" w:type="dxa"/>
          </w:tcPr>
          <w:p w14:paraId="7C0F039D" w14:textId="51688603"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Complaint handling and responses</w:t>
            </w:r>
          </w:p>
          <w:p w14:paraId="670A8655" w14:textId="31EA12D5"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Investigations</w:t>
            </w:r>
          </w:p>
          <w:p w14:paraId="19D06517" w14:textId="7BE144E0"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Prohibition orders</w:t>
            </w:r>
          </w:p>
          <w:p w14:paraId="436D6F07" w14:textId="0C1C3ADE" w:rsidR="004B18DF"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Working with other regulators</w:t>
            </w:r>
          </w:p>
        </w:tc>
      </w:tr>
      <w:tr w:rsidR="004B18DF" w:rsidRPr="00AD1560" w14:paraId="29765A55"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D0B6C30" w14:textId="4C9EF268" w:rsidR="004B18DF" w:rsidRPr="00AD1560" w:rsidRDefault="00F86010" w:rsidP="000A5C98">
            <w:pPr>
              <w:pStyle w:val="VDWCtabletext"/>
              <w:rPr>
                <w:lang w:val="en-AU"/>
              </w:rPr>
            </w:pPr>
            <w:r w:rsidRPr="00AD1560">
              <w:rPr>
                <w:lang w:val="en-AU"/>
              </w:rPr>
              <w:t>Registration</w:t>
            </w:r>
          </w:p>
        </w:tc>
        <w:tc>
          <w:tcPr>
            <w:tcW w:w="5896" w:type="dxa"/>
          </w:tcPr>
          <w:p w14:paraId="1253BD97" w14:textId="320B02EF" w:rsidR="00F86010"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Registration assessment</w:t>
            </w:r>
          </w:p>
          <w:p w14:paraId="319D007B" w14:textId="6B7C4BB6" w:rsidR="00F86010"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Continuous improvement to application and renewal processes</w:t>
            </w:r>
          </w:p>
          <w:p w14:paraId="6F28321E" w14:textId="1A716A7F" w:rsidR="00F86010"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Customer support</w:t>
            </w:r>
          </w:p>
          <w:p w14:paraId="0A42384B" w14:textId="0C0F5AD7" w:rsidR="004B18DF"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Publishing the register of registered disability workers</w:t>
            </w:r>
          </w:p>
        </w:tc>
      </w:tr>
      <w:tr w:rsidR="004B18DF" w:rsidRPr="00AD1560" w14:paraId="31D5CEDD"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C74347D" w14:textId="2A807E0B" w:rsidR="004B18DF" w:rsidRPr="00AD1560" w:rsidRDefault="00F86010" w:rsidP="000A5C98">
            <w:pPr>
              <w:pStyle w:val="VDWCtabletext"/>
              <w:rPr>
                <w:lang w:val="en-AU"/>
              </w:rPr>
            </w:pPr>
            <w:r w:rsidRPr="00AD1560">
              <w:rPr>
                <w:lang w:val="en-AU"/>
              </w:rPr>
              <w:t>Workforce standards</w:t>
            </w:r>
          </w:p>
        </w:tc>
        <w:tc>
          <w:tcPr>
            <w:tcW w:w="5896" w:type="dxa"/>
          </w:tcPr>
          <w:p w14:paraId="5D39980B" w14:textId="441C8F45"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Policy directions and guidance</w:t>
            </w:r>
          </w:p>
          <w:p w14:paraId="058AD49D" w14:textId="16B12781"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Standards, guidelines development and fees</w:t>
            </w:r>
          </w:p>
          <w:p w14:paraId="510E6F6F" w14:textId="254546BF" w:rsidR="004B18DF"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Accreditation processes</w:t>
            </w:r>
          </w:p>
        </w:tc>
      </w:tr>
      <w:tr w:rsidR="004B18DF" w:rsidRPr="00AD1560" w14:paraId="039FD6B0"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26DD072" w14:textId="64FA4008" w:rsidR="004B18DF" w:rsidRPr="00AD1560" w:rsidRDefault="00F86010" w:rsidP="000A5C98">
            <w:pPr>
              <w:pStyle w:val="VDWCtabletext"/>
              <w:rPr>
                <w:lang w:val="en-AU"/>
              </w:rPr>
            </w:pPr>
            <w:r w:rsidRPr="00AD1560">
              <w:rPr>
                <w:lang w:val="en-AU"/>
              </w:rPr>
              <w:t>Engagement and communication</w:t>
            </w:r>
          </w:p>
        </w:tc>
        <w:tc>
          <w:tcPr>
            <w:tcW w:w="5896" w:type="dxa"/>
          </w:tcPr>
          <w:p w14:paraId="47EB152F" w14:textId="6DB7E0C8" w:rsidR="00F86010"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Stakeholder engagement</w:t>
            </w:r>
          </w:p>
          <w:p w14:paraId="209890A1" w14:textId="423738DD" w:rsidR="00F86010"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Public information and education campaigns</w:t>
            </w:r>
          </w:p>
          <w:p w14:paraId="79E28F49" w14:textId="5B8D58D1" w:rsidR="004B18DF" w:rsidRPr="00AD1560" w:rsidRDefault="00F8601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Media presence</w:t>
            </w:r>
          </w:p>
        </w:tc>
      </w:tr>
      <w:tr w:rsidR="004B18DF" w:rsidRPr="00AD1560" w14:paraId="60181CD2"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5FBD875" w14:textId="6125FD58" w:rsidR="004B18DF" w:rsidRPr="00AD1560" w:rsidRDefault="00F86010" w:rsidP="000A5C98">
            <w:pPr>
              <w:pStyle w:val="VDWCtabletext"/>
              <w:rPr>
                <w:lang w:val="en-AU"/>
              </w:rPr>
            </w:pPr>
            <w:r w:rsidRPr="00AD1560">
              <w:rPr>
                <w:lang w:val="en-AU"/>
              </w:rPr>
              <w:lastRenderedPageBreak/>
              <w:t>Enablers</w:t>
            </w:r>
          </w:p>
        </w:tc>
        <w:tc>
          <w:tcPr>
            <w:tcW w:w="5896" w:type="dxa"/>
          </w:tcPr>
          <w:p w14:paraId="2FFE1F64"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Corporate compliance</w:t>
            </w:r>
          </w:p>
          <w:p w14:paraId="43070862"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Internal audit</w:t>
            </w:r>
          </w:p>
          <w:p w14:paraId="7FD97542"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Board Secretariat</w:t>
            </w:r>
          </w:p>
          <w:p w14:paraId="54746720"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Strategic and operational policy</w:t>
            </w:r>
          </w:p>
          <w:p w14:paraId="10A52419"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Recruitment management</w:t>
            </w:r>
          </w:p>
          <w:p w14:paraId="2A669505"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Health and safety</w:t>
            </w:r>
          </w:p>
          <w:p w14:paraId="3C6FB4A9"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Finance</w:t>
            </w:r>
          </w:p>
          <w:p w14:paraId="24729B0D" w14:textId="77777777" w:rsidR="00DB5FA4" w:rsidRPr="00AD1560" w:rsidRDefault="00DB5FA4" w:rsidP="000C4D3B">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Diversity and inclusion</w:t>
            </w:r>
          </w:p>
          <w:p w14:paraId="59B2223E" w14:textId="0F7D23C0"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Legal advice</w:t>
            </w:r>
          </w:p>
          <w:p w14:paraId="21D8907F" w14:textId="53C0ED49"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Strategic planning and risk</w:t>
            </w:r>
            <w:r w:rsidR="006D71E7" w:rsidRPr="00AD1560">
              <w:rPr>
                <w:lang w:val="en-AU"/>
              </w:rPr>
              <w:t xml:space="preserve"> management</w:t>
            </w:r>
          </w:p>
          <w:p w14:paraId="150D8670" w14:textId="6D7DB7C8"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IT development and support</w:t>
            </w:r>
          </w:p>
          <w:p w14:paraId="42EB2C7C" w14:textId="14964692"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Data management and analytics</w:t>
            </w:r>
          </w:p>
          <w:p w14:paraId="53167AEB" w14:textId="527D34AC"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Monitoring and evaluation</w:t>
            </w:r>
          </w:p>
          <w:p w14:paraId="20767C77" w14:textId="32EF28AE" w:rsidR="00F86010"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Research</w:t>
            </w:r>
          </w:p>
          <w:p w14:paraId="49ABD506" w14:textId="6BFCC626" w:rsidR="004B18DF" w:rsidRPr="00AD1560" w:rsidRDefault="00F8601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Delegations and authorisations</w:t>
            </w:r>
          </w:p>
        </w:tc>
      </w:tr>
    </w:tbl>
    <w:p w14:paraId="126E69D8" w14:textId="77777777" w:rsidR="00DB2F2B" w:rsidRPr="00AD1560" w:rsidRDefault="00DB2F2B" w:rsidP="002956FB">
      <w:pPr>
        <w:pStyle w:val="VDWCbody"/>
        <w:rPr>
          <w:sz w:val="24"/>
        </w:rPr>
      </w:pPr>
      <w:bookmarkStart w:id="27" w:name="_Ref115777435"/>
      <w:r w:rsidRPr="00AD1560">
        <w:br w:type="page"/>
      </w:r>
    </w:p>
    <w:p w14:paraId="7D925120" w14:textId="7EB929AB" w:rsidR="00F86010" w:rsidRPr="00AD1560" w:rsidRDefault="00F86010" w:rsidP="00F86010">
      <w:pPr>
        <w:pStyle w:val="Tablecaption"/>
      </w:pPr>
      <w:r w:rsidRPr="00AD1560">
        <w:lastRenderedPageBreak/>
        <w:t xml:space="preserve">Table </w:t>
      </w:r>
      <w:r w:rsidR="00DB73FF">
        <w:fldChar w:fldCharType="begin"/>
      </w:r>
      <w:r w:rsidR="00DB73FF">
        <w:instrText xml:space="preserve"> SEQ Table \* ARABIC </w:instrText>
      </w:r>
      <w:r w:rsidR="00DB73FF">
        <w:fldChar w:fldCharType="separate"/>
      </w:r>
      <w:r w:rsidR="000A5B6F" w:rsidRPr="00AD1560">
        <w:rPr>
          <w:noProof/>
        </w:rPr>
        <w:t>3</w:t>
      </w:r>
      <w:r w:rsidR="00DB73FF">
        <w:rPr>
          <w:noProof/>
        </w:rPr>
        <w:fldChar w:fldCharType="end"/>
      </w:r>
      <w:bookmarkEnd w:id="27"/>
      <w:r w:rsidRPr="00AD1560">
        <w:t xml:space="preserve">: Key </w:t>
      </w:r>
      <w:r w:rsidR="00DB73FF">
        <w:t xml:space="preserve">strategic </w:t>
      </w:r>
      <w:r w:rsidRPr="00AD1560">
        <w:t>actions</w:t>
      </w:r>
      <w:r w:rsidR="00DB2F2B" w:rsidRPr="00AD1560">
        <w:t xml:space="preserve"> and </w:t>
      </w:r>
      <w:r w:rsidRPr="00AD1560">
        <w:t>projects for 2022</w:t>
      </w:r>
      <w:r w:rsidR="00DB2F2B" w:rsidRPr="00AD1560">
        <w:t>-</w:t>
      </w:r>
      <w:r w:rsidRPr="00AD1560">
        <w:t>2023</w:t>
      </w:r>
    </w:p>
    <w:p w14:paraId="38BBAE38" w14:textId="413BA065" w:rsidR="000530C0" w:rsidRPr="00AD1560" w:rsidRDefault="000530C0" w:rsidP="002956FB">
      <w:pPr>
        <w:pStyle w:val="Introtext"/>
      </w:pPr>
      <w:r w:rsidRPr="00AD1560">
        <w:t>The core regulatory and enabling functions underpin and support each of the five pillars.</w:t>
      </w:r>
    </w:p>
    <w:tbl>
      <w:tblPr>
        <w:tblStyle w:val="Tealtable"/>
        <w:tblW w:w="0" w:type="auto"/>
        <w:tblInd w:w="5" w:type="dxa"/>
        <w:tblLook w:val="04A0" w:firstRow="1" w:lastRow="0" w:firstColumn="1" w:lastColumn="0" w:noHBand="0" w:noVBand="1"/>
      </w:tblPr>
      <w:tblGrid>
        <w:gridCol w:w="2457"/>
        <w:gridCol w:w="3067"/>
        <w:gridCol w:w="3769"/>
      </w:tblGrid>
      <w:tr w:rsidR="000530C0" w:rsidRPr="00AD1560" w14:paraId="14B1CB08" w14:textId="77777777" w:rsidTr="002956FB">
        <w:trPr>
          <w:cnfStyle w:val="100000000000" w:firstRow="1" w:lastRow="0" w:firstColumn="0" w:lastColumn="0" w:oddVBand="0" w:evenVBand="0" w:oddHBand="0" w:evenHBand="0" w:firstRowFirstColumn="0" w:firstRowLastColumn="0" w:lastRowFirstColumn="0" w:lastRowLastColumn="0"/>
          <w:trHeight w:val="376"/>
          <w:tblHeader/>
        </w:trPr>
        <w:tc>
          <w:tcPr>
            <w:cnfStyle w:val="001000000000" w:firstRow="0" w:lastRow="0" w:firstColumn="1" w:lastColumn="0" w:oddVBand="0" w:evenVBand="0" w:oddHBand="0" w:evenHBand="0" w:firstRowFirstColumn="0" w:firstRowLastColumn="0" w:lastRowFirstColumn="0" w:lastRowLastColumn="0"/>
            <w:tcW w:w="0" w:type="auto"/>
          </w:tcPr>
          <w:p w14:paraId="61DA5284" w14:textId="471BBC96" w:rsidR="000530C0" w:rsidRPr="00AD1560" w:rsidRDefault="000530C0" w:rsidP="002956FB">
            <w:pPr>
              <w:pStyle w:val="VDWCtablecolhead"/>
              <w:rPr>
                <w:lang w:val="en-AU"/>
              </w:rPr>
            </w:pPr>
            <w:r w:rsidRPr="00AD1560">
              <w:rPr>
                <w:rFonts w:eastAsia="Times New Roman"/>
                <w:lang w:val="en-AU"/>
              </w:rPr>
              <w:t>Pillar</w:t>
            </w:r>
          </w:p>
        </w:tc>
        <w:tc>
          <w:tcPr>
            <w:tcW w:w="3067" w:type="dxa"/>
          </w:tcPr>
          <w:p w14:paraId="0F9C8DF6" w14:textId="50FC5F2B" w:rsidR="000530C0" w:rsidRPr="00AD1560" w:rsidRDefault="000530C0" w:rsidP="002956FB">
            <w:pPr>
              <w:pStyle w:val="VDWCtablecolhead"/>
              <w:cnfStyle w:val="100000000000" w:firstRow="1" w:lastRow="0" w:firstColumn="0" w:lastColumn="0" w:oddVBand="0" w:evenVBand="0" w:oddHBand="0" w:evenHBand="0" w:firstRowFirstColumn="0" w:firstRowLastColumn="0" w:lastRowFirstColumn="0" w:lastRowLastColumn="0"/>
              <w:rPr>
                <w:lang w:val="en-AU"/>
              </w:rPr>
            </w:pPr>
            <w:r w:rsidRPr="00AD1560">
              <w:rPr>
                <w:rFonts w:eastAsia="Times New Roman"/>
                <w:lang w:val="en-AU"/>
              </w:rPr>
              <w:t>2024 outcome</w:t>
            </w:r>
          </w:p>
        </w:tc>
        <w:tc>
          <w:tcPr>
            <w:tcW w:w="3769" w:type="dxa"/>
          </w:tcPr>
          <w:p w14:paraId="03FEE173" w14:textId="7CDBC70A" w:rsidR="000530C0" w:rsidRPr="00AD1560" w:rsidRDefault="000530C0" w:rsidP="002956FB">
            <w:pPr>
              <w:pStyle w:val="VDWCtablecolhead"/>
              <w:cnfStyle w:val="100000000000" w:firstRow="1" w:lastRow="0" w:firstColumn="0" w:lastColumn="0" w:oddVBand="0" w:evenVBand="0" w:oddHBand="0" w:evenHBand="0" w:firstRowFirstColumn="0" w:firstRowLastColumn="0" w:lastRowFirstColumn="0" w:lastRowLastColumn="0"/>
              <w:rPr>
                <w:lang w:val="en-AU"/>
              </w:rPr>
            </w:pPr>
            <w:r w:rsidRPr="00AD1560">
              <w:rPr>
                <w:rFonts w:eastAsia="Times New Roman"/>
                <w:lang w:val="en-AU"/>
              </w:rPr>
              <w:t>Key strategic action or project</w:t>
            </w:r>
          </w:p>
        </w:tc>
      </w:tr>
      <w:tr w:rsidR="000530C0" w:rsidRPr="00AD1560" w14:paraId="2E6D0AC6"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C69CB2" w14:textId="166FC358" w:rsidR="000530C0" w:rsidRPr="00AD1560" w:rsidRDefault="000530C0" w:rsidP="000A5C98">
            <w:pPr>
              <w:pStyle w:val="VDWCtabletext"/>
              <w:rPr>
                <w:b/>
                <w:bCs/>
                <w:lang w:val="en-AU"/>
              </w:rPr>
            </w:pPr>
            <w:r w:rsidRPr="00AD1560">
              <w:rPr>
                <w:b/>
                <w:bCs/>
                <w:lang w:val="en-AU"/>
              </w:rPr>
              <w:t>1. Safety and compliance</w:t>
            </w:r>
          </w:p>
        </w:tc>
        <w:tc>
          <w:tcPr>
            <w:tcW w:w="3067" w:type="dxa"/>
          </w:tcPr>
          <w:p w14:paraId="75760146" w14:textId="3D0B39A9" w:rsidR="000530C0" w:rsidRPr="00AD1560" w:rsidRDefault="000530C0" w:rsidP="000A5C98">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We have an accessible responsive and balanced notifications, complaints and assessment system</w:t>
            </w:r>
          </w:p>
        </w:tc>
        <w:tc>
          <w:tcPr>
            <w:tcW w:w="3769" w:type="dxa"/>
          </w:tcPr>
          <w:p w14:paraId="0EE6929F" w14:textId="58A5D26C"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Develop a compliance framework (including policy and regulatory approach) (Priority 1.1)</w:t>
            </w:r>
          </w:p>
          <w:p w14:paraId="4B1BC580" w14:textId="6C864FB3"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Develop a stakeholder feedback survey (Priority 1.3)</w:t>
            </w:r>
          </w:p>
        </w:tc>
      </w:tr>
      <w:tr w:rsidR="000530C0" w:rsidRPr="00AD1560" w14:paraId="2A815E89"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43217A" w14:textId="77AC7764" w:rsidR="000530C0" w:rsidRPr="00AD1560" w:rsidRDefault="000530C0" w:rsidP="000A5C98">
            <w:pPr>
              <w:pStyle w:val="VDWCtabletext"/>
              <w:rPr>
                <w:b/>
                <w:bCs/>
                <w:lang w:val="en-AU"/>
              </w:rPr>
            </w:pPr>
            <w:r w:rsidRPr="00AD1560">
              <w:rPr>
                <w:b/>
                <w:bCs/>
                <w:lang w:val="en-AU"/>
              </w:rPr>
              <w:t>2. Registration</w:t>
            </w:r>
          </w:p>
        </w:tc>
        <w:tc>
          <w:tcPr>
            <w:tcW w:w="3067" w:type="dxa"/>
          </w:tcPr>
          <w:p w14:paraId="32680D1A" w14:textId="7E28B427" w:rsidR="000530C0" w:rsidRPr="00AD1560" w:rsidRDefault="000530C0" w:rsidP="000A5C98">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The percentage of the disability workforce that is registered is growing steadily</w:t>
            </w:r>
          </w:p>
        </w:tc>
        <w:tc>
          <w:tcPr>
            <w:tcW w:w="3769" w:type="dxa"/>
          </w:tcPr>
          <w:p w14:paraId="1125365B" w14:textId="2E6D30CA"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Establish a fee policy (Priority 2.3)</w:t>
            </w:r>
          </w:p>
          <w:p w14:paraId="5BA2FCB3" w14:textId="2DF579CB"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Develop a new model of assessment written as guidance (Priority 2.2)</w:t>
            </w:r>
          </w:p>
          <w:p w14:paraId="16C54F59" w14:textId="3D4E345E"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Revise application and renewal process (Priority 2.2)</w:t>
            </w:r>
          </w:p>
          <w:p w14:paraId="5CCB78BC" w14:textId="7C3BC8E5"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Undertake a criminal history check reform project (Priority 2.2)</w:t>
            </w:r>
          </w:p>
        </w:tc>
      </w:tr>
      <w:tr w:rsidR="000530C0" w:rsidRPr="00AD1560" w14:paraId="589D9FEE"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147E3E" w14:textId="1C96F5BA" w:rsidR="000530C0" w:rsidRPr="00AD1560" w:rsidRDefault="000530C0" w:rsidP="000A5C98">
            <w:pPr>
              <w:pStyle w:val="VDWCtabletext"/>
              <w:rPr>
                <w:b/>
                <w:bCs/>
                <w:lang w:val="en-AU"/>
              </w:rPr>
            </w:pPr>
            <w:r w:rsidRPr="00AD1560">
              <w:rPr>
                <w:b/>
                <w:bCs/>
                <w:lang w:val="en-AU"/>
              </w:rPr>
              <w:t>3. Workforce standards</w:t>
            </w:r>
          </w:p>
        </w:tc>
        <w:tc>
          <w:tcPr>
            <w:tcW w:w="3067" w:type="dxa"/>
          </w:tcPr>
          <w:p w14:paraId="6D3BED82" w14:textId="7305DADA" w:rsidR="000530C0" w:rsidRPr="00AD1560" w:rsidRDefault="000530C0" w:rsidP="000A5C98">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Our standards for registration and training improve the knowledge and capability of the workforce</w:t>
            </w:r>
          </w:p>
        </w:tc>
        <w:tc>
          <w:tcPr>
            <w:tcW w:w="3769" w:type="dxa"/>
          </w:tcPr>
          <w:p w14:paraId="0A28646E" w14:textId="665D8FD9"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Develop a roadmap for registration standards (Priority 3.1)</w:t>
            </w:r>
          </w:p>
          <w:p w14:paraId="2F137E07" w14:textId="2E646946"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Prioritise registration standards (Priority 3.2)</w:t>
            </w:r>
          </w:p>
        </w:tc>
      </w:tr>
      <w:tr w:rsidR="000530C0" w:rsidRPr="00AD1560" w14:paraId="6B0A546B" w14:textId="77777777" w:rsidTr="00295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0D651F" w14:textId="5D277C6B" w:rsidR="000530C0" w:rsidRPr="00AD1560" w:rsidRDefault="000530C0" w:rsidP="000A5C98">
            <w:pPr>
              <w:pStyle w:val="VDWCtabletext"/>
              <w:rPr>
                <w:b/>
                <w:bCs/>
                <w:lang w:val="en-AU"/>
              </w:rPr>
            </w:pPr>
            <w:r w:rsidRPr="00AD1560">
              <w:rPr>
                <w:b/>
                <w:bCs/>
                <w:lang w:val="en-AU"/>
              </w:rPr>
              <w:t>4. Engagement and communication</w:t>
            </w:r>
          </w:p>
        </w:tc>
        <w:tc>
          <w:tcPr>
            <w:tcW w:w="3067" w:type="dxa"/>
          </w:tcPr>
          <w:p w14:paraId="46ED332C" w14:textId="4EDCF47B" w:rsidR="000530C0" w:rsidRPr="00AD1560" w:rsidRDefault="000530C0" w:rsidP="000A5C98">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People with disability, their families, advocates and service providers understand and have confidence in the Scheme and its processes</w:t>
            </w:r>
          </w:p>
        </w:tc>
        <w:tc>
          <w:tcPr>
            <w:tcW w:w="3769" w:type="dxa"/>
          </w:tcPr>
          <w:p w14:paraId="7588169E" w14:textId="3080315B"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Develop a communications and engagement plan (Priority 1.4, 2.1, 2.3, 2.4, 4.2, 4.3)</w:t>
            </w:r>
          </w:p>
          <w:p w14:paraId="14D101D1" w14:textId="40F234C5" w:rsidR="000530C0" w:rsidRPr="00AD1560" w:rsidRDefault="000530C0" w:rsidP="000A5C98">
            <w:pPr>
              <w:pStyle w:val="VDWCtablebullet1"/>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Strengthen collaboration and engagement with other regulators and agencies (Priority 4.1)</w:t>
            </w:r>
          </w:p>
        </w:tc>
      </w:tr>
      <w:tr w:rsidR="000530C0" w:rsidRPr="00AD1560" w14:paraId="6FB6C27C" w14:textId="77777777" w:rsidTr="00295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55880F" w14:textId="26DF32B3" w:rsidR="000530C0" w:rsidRPr="00AD1560" w:rsidRDefault="000530C0" w:rsidP="000A5C98">
            <w:pPr>
              <w:pStyle w:val="VDWCtabletext"/>
              <w:rPr>
                <w:b/>
                <w:bCs/>
                <w:lang w:val="en-AU"/>
              </w:rPr>
            </w:pPr>
            <w:r w:rsidRPr="00AD1560">
              <w:rPr>
                <w:b/>
                <w:bCs/>
                <w:lang w:val="en-AU"/>
              </w:rPr>
              <w:t>5. Enablers</w:t>
            </w:r>
          </w:p>
        </w:tc>
        <w:tc>
          <w:tcPr>
            <w:tcW w:w="3067" w:type="dxa"/>
          </w:tcPr>
          <w:p w14:paraId="1A514C3E" w14:textId="5BA8BB4B" w:rsidR="000530C0" w:rsidRPr="00AD1560" w:rsidRDefault="000530C0" w:rsidP="000A5C98">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The Board, Commissioner and Commission work collaboratively and are well supported to develop and operate the Scheme</w:t>
            </w:r>
          </w:p>
        </w:tc>
        <w:tc>
          <w:tcPr>
            <w:tcW w:w="3769" w:type="dxa"/>
          </w:tcPr>
          <w:p w14:paraId="51CA1A46" w14:textId="732603E9"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Develop a reporting infrastructure (Priority 5.3)</w:t>
            </w:r>
          </w:p>
          <w:p w14:paraId="3BE6A11E" w14:textId="7AA024D8" w:rsidR="000530C0" w:rsidRPr="00AD1560" w:rsidRDefault="000530C0" w:rsidP="000A5C98">
            <w:pPr>
              <w:pStyle w:val="VDWCtablebullet1"/>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Develop a stakeholder engagement plan (Priority 5.3)</w:t>
            </w:r>
          </w:p>
        </w:tc>
      </w:tr>
    </w:tbl>
    <w:p w14:paraId="13B9E065" w14:textId="5799564C" w:rsidR="00064338" w:rsidRPr="00AD1560" w:rsidRDefault="00064338" w:rsidP="002956FB">
      <w:pPr>
        <w:pStyle w:val="VDWCbody"/>
      </w:pPr>
      <w:r w:rsidRPr="00AD1560">
        <w:br w:type="page"/>
      </w:r>
    </w:p>
    <w:p w14:paraId="5CE24B25" w14:textId="1FA55774" w:rsidR="00064338" w:rsidRPr="00AD1560" w:rsidRDefault="00F86010" w:rsidP="00064338">
      <w:pPr>
        <w:pStyle w:val="Heading1"/>
      </w:pPr>
      <w:bookmarkStart w:id="28" w:name="_Toc115983191"/>
      <w:r w:rsidRPr="00AD1560">
        <w:lastRenderedPageBreak/>
        <w:t>Tracking our performance</w:t>
      </w:r>
      <w:bookmarkEnd w:id="28"/>
    </w:p>
    <w:p w14:paraId="2518D1BD" w14:textId="3F020914" w:rsidR="00F86010" w:rsidRPr="00AD1560" w:rsidRDefault="00F86010" w:rsidP="002956FB">
      <w:pPr>
        <w:pStyle w:val="Introtext"/>
      </w:pPr>
      <w:r w:rsidRPr="00AD1560">
        <w:t xml:space="preserve">We have developed a </w:t>
      </w:r>
      <w:r w:rsidR="00047E7F" w:rsidRPr="00AD1560">
        <w:t xml:space="preserve">monitoring, evaluation and learning </w:t>
      </w:r>
      <w:r w:rsidRPr="00AD1560">
        <w:t xml:space="preserve">(MEL) </w:t>
      </w:r>
      <w:r w:rsidR="00047E7F" w:rsidRPr="00AD1560">
        <w:t xml:space="preserve">framework </w:t>
      </w:r>
      <w:r w:rsidRPr="00AD1560">
        <w:t>to ensure the Commission and the Board have the tools needed to make well-informed, evidence- based decisions. We have established three ways of looking at our performance over the year.</w:t>
      </w:r>
    </w:p>
    <w:p w14:paraId="4385B29A" w14:textId="246835A0" w:rsidR="00F86010" w:rsidRPr="00AD1560" w:rsidRDefault="00F86010" w:rsidP="00F86010">
      <w:pPr>
        <w:pStyle w:val="Heading2"/>
      </w:pPr>
      <w:bookmarkStart w:id="29" w:name="_Toc115983192"/>
      <w:r w:rsidRPr="00AD1560">
        <w:t>Monthly review of key performance indicators and measures</w:t>
      </w:r>
      <w:bookmarkEnd w:id="29"/>
    </w:p>
    <w:p w14:paraId="2056750E" w14:textId="2F1A9AB7" w:rsidR="00DB2F2B" w:rsidRPr="00AD1560" w:rsidRDefault="00F86010" w:rsidP="00F86010">
      <w:pPr>
        <w:pStyle w:val="VDWCbody"/>
      </w:pPr>
      <w:r w:rsidRPr="00AD1560">
        <w:t>Our two key regulatory functions are the focus of</w:t>
      </w:r>
      <w:r w:rsidR="00DB2F2B" w:rsidRPr="00AD1560">
        <w:t xml:space="preserve"> </w:t>
      </w:r>
      <w:r w:rsidRPr="00AD1560">
        <w:t>Pillar 1</w:t>
      </w:r>
      <w:r w:rsidR="00047E7F" w:rsidRPr="00AD1560">
        <w:t>:</w:t>
      </w:r>
      <w:r w:rsidRPr="00AD1560">
        <w:t xml:space="preserve"> Safety and </w:t>
      </w:r>
      <w:r w:rsidR="00047E7F" w:rsidRPr="00AD1560">
        <w:t xml:space="preserve">compliance </w:t>
      </w:r>
      <w:r w:rsidRPr="00AD1560">
        <w:t>and Pillar 2</w:t>
      </w:r>
      <w:r w:rsidR="00047E7F" w:rsidRPr="00AD1560">
        <w:t>:</w:t>
      </w:r>
      <w:r w:rsidRPr="00AD1560">
        <w:t xml:space="preserve"> Registration.</w:t>
      </w:r>
    </w:p>
    <w:p w14:paraId="7FAF8C30" w14:textId="2AAE3480" w:rsidR="00DB2F2B" w:rsidRPr="00AD1560" w:rsidRDefault="00F86010" w:rsidP="00F86010">
      <w:pPr>
        <w:pStyle w:val="VDWCbody"/>
      </w:pPr>
      <w:r w:rsidRPr="00AD1560">
        <w:t>These are supported by engagement and communications activities in Pillar 4.</w:t>
      </w:r>
    </w:p>
    <w:p w14:paraId="4CDDFAE3" w14:textId="1F5A36D6" w:rsidR="00F86010" w:rsidRPr="00AD1560" w:rsidRDefault="00F86010" w:rsidP="00F86010">
      <w:pPr>
        <w:pStyle w:val="VDWCbody"/>
      </w:pPr>
      <w:r w:rsidRPr="00AD1560">
        <w:t>On a monthly basis the Commission</w:t>
      </w:r>
      <w:r w:rsidR="00047E7F" w:rsidRPr="00AD1560">
        <w:t xml:space="preserve"> </w:t>
      </w:r>
      <w:r w:rsidRPr="00AD1560">
        <w:t>monitors a range of key performance indicators and measures across these pillars and uses them to inform our day-to-day operations.</w:t>
      </w:r>
    </w:p>
    <w:p w14:paraId="212477AD" w14:textId="77777777" w:rsidR="00F86010" w:rsidRPr="00AD1560" w:rsidRDefault="00F86010" w:rsidP="00F86010">
      <w:pPr>
        <w:pStyle w:val="Heading2"/>
      </w:pPr>
      <w:bookmarkStart w:id="30" w:name="_Toc115983193"/>
      <w:r w:rsidRPr="00AD1560">
        <w:t>Performance reporting against our business plan</w:t>
      </w:r>
      <w:bookmarkEnd w:id="30"/>
    </w:p>
    <w:p w14:paraId="01F6C378" w14:textId="6E946E5D" w:rsidR="00F86010" w:rsidRPr="00AD1560" w:rsidRDefault="00F86010" w:rsidP="00F86010">
      <w:pPr>
        <w:pStyle w:val="VDWCbody"/>
      </w:pPr>
      <w:r w:rsidRPr="00AD1560">
        <w:t>The Commission monitors progress against our key actions and projects monthly and updates the Board quarterly on this progress.</w:t>
      </w:r>
    </w:p>
    <w:p w14:paraId="08D6D22E" w14:textId="77777777" w:rsidR="00F86010" w:rsidRPr="00AD1560" w:rsidRDefault="00F86010" w:rsidP="00F86010">
      <w:pPr>
        <w:pStyle w:val="Heading2"/>
      </w:pPr>
      <w:bookmarkStart w:id="31" w:name="_Toc115983194"/>
      <w:r w:rsidRPr="00AD1560">
        <w:t>Yearly review of our impact</w:t>
      </w:r>
      <w:bookmarkEnd w:id="31"/>
    </w:p>
    <w:p w14:paraId="20880B25" w14:textId="77777777" w:rsidR="00DB2F2B" w:rsidRPr="00AD1560" w:rsidRDefault="00F86010" w:rsidP="00F86010">
      <w:pPr>
        <w:pStyle w:val="VDWCbody"/>
      </w:pPr>
      <w:r w:rsidRPr="00AD1560">
        <w:t>Central to accountability is our MEL framework. The framework contains</w:t>
      </w:r>
      <w:r w:rsidR="00DB2F2B" w:rsidRPr="00AD1560">
        <w:t>:</w:t>
      </w:r>
    </w:p>
    <w:p w14:paraId="3F64E9B7" w14:textId="22741F91" w:rsidR="00DB2F2B" w:rsidRPr="00AD1560" w:rsidRDefault="00F86010" w:rsidP="00DB2F2B">
      <w:pPr>
        <w:pStyle w:val="VDWCbullet1"/>
      </w:pPr>
      <w:r w:rsidRPr="00AD1560">
        <w:t>the desired outcomes of the Scheme</w:t>
      </w:r>
    </w:p>
    <w:p w14:paraId="19C8828F" w14:textId="5BEBD078" w:rsidR="00DB2F2B" w:rsidRPr="00AD1560" w:rsidRDefault="00F86010" w:rsidP="00DB2F2B">
      <w:pPr>
        <w:pStyle w:val="VDWCbullet1"/>
      </w:pPr>
      <w:r w:rsidRPr="00AD1560">
        <w:t>an indication of how we are going to achieve these</w:t>
      </w:r>
    </w:p>
    <w:p w14:paraId="3449DAFF" w14:textId="4BC9DA4C" w:rsidR="00F86010" w:rsidRPr="00AD1560" w:rsidRDefault="00F86010" w:rsidP="002956FB">
      <w:pPr>
        <w:pStyle w:val="VDWCbullet1"/>
      </w:pPr>
      <w:r w:rsidRPr="00AD1560">
        <w:t>realistic indicators and measures.</w:t>
      </w:r>
    </w:p>
    <w:p w14:paraId="4F5AE3F7" w14:textId="089A226B" w:rsidR="00DB2F2B" w:rsidRPr="00AD1560" w:rsidRDefault="00F86010" w:rsidP="00DB2F2B">
      <w:pPr>
        <w:pStyle w:val="VDWCbodyafterbullets"/>
      </w:pPr>
      <w:r w:rsidRPr="00AD1560">
        <w:t>Annual reviews have been planned</w:t>
      </w:r>
      <w:r w:rsidR="00DB2F2B" w:rsidRPr="00AD1560">
        <w:t>,</w:t>
      </w:r>
      <w:r w:rsidRPr="00AD1560">
        <w:t xml:space="preserve"> describing our progress towards the Scheme outcomes and outputs.</w:t>
      </w:r>
    </w:p>
    <w:p w14:paraId="1C271B98" w14:textId="77777777" w:rsidR="00DB2F2B" w:rsidRPr="00AD1560" w:rsidRDefault="00DB2F2B">
      <w:pPr>
        <w:rPr>
          <w:rFonts w:ascii="Arial" w:eastAsia="Times" w:hAnsi="Arial"/>
          <w:sz w:val="22"/>
        </w:rPr>
      </w:pPr>
      <w:r w:rsidRPr="00AD1560">
        <w:br w:type="page"/>
      </w:r>
    </w:p>
    <w:p w14:paraId="233D36B9" w14:textId="7D1B75D4" w:rsidR="007F168A" w:rsidRPr="00AD1560" w:rsidRDefault="007F168A" w:rsidP="007F168A">
      <w:pPr>
        <w:pStyle w:val="VDWCtablecaption"/>
      </w:pPr>
      <w:r w:rsidRPr="00AD1560">
        <w:lastRenderedPageBreak/>
        <w:t xml:space="preserve">Table </w:t>
      </w:r>
      <w:r w:rsidR="00DB73FF">
        <w:fldChar w:fldCharType="begin"/>
      </w:r>
      <w:r w:rsidR="00DB73FF">
        <w:instrText xml:space="preserve"> SEQ Table \* ARABIC </w:instrText>
      </w:r>
      <w:r w:rsidR="00DB73FF">
        <w:fldChar w:fldCharType="separate"/>
      </w:r>
      <w:r w:rsidR="000A5B6F" w:rsidRPr="00AD1560">
        <w:rPr>
          <w:noProof/>
        </w:rPr>
        <w:t>4</w:t>
      </w:r>
      <w:r w:rsidR="00DB73FF">
        <w:rPr>
          <w:noProof/>
        </w:rPr>
        <w:fldChar w:fldCharType="end"/>
      </w:r>
      <w:r w:rsidRPr="00AD1560">
        <w:t>: Example of performance measures</w:t>
      </w:r>
    </w:p>
    <w:tbl>
      <w:tblPr>
        <w:tblStyle w:val="Tealtable"/>
        <w:tblW w:w="9411" w:type="dxa"/>
        <w:tblInd w:w="5" w:type="dxa"/>
        <w:tblLook w:val="04A0" w:firstRow="1" w:lastRow="0" w:firstColumn="1" w:lastColumn="0" w:noHBand="0" w:noVBand="1"/>
      </w:tblPr>
      <w:tblGrid>
        <w:gridCol w:w="5187"/>
        <w:gridCol w:w="4224"/>
      </w:tblGrid>
      <w:tr w:rsidR="00DB2F2B" w:rsidRPr="00AD1560" w14:paraId="0EF043C0" w14:textId="77777777" w:rsidTr="002956F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187" w:type="dxa"/>
          </w:tcPr>
          <w:p w14:paraId="5AB77F22" w14:textId="00EFEADC" w:rsidR="00F86010" w:rsidRPr="00AD1560" w:rsidRDefault="00F86010" w:rsidP="002956FB">
            <w:pPr>
              <w:pStyle w:val="VDWCtablecolhead"/>
              <w:rPr>
                <w:lang w:val="en-AU"/>
              </w:rPr>
            </w:pPr>
            <w:r w:rsidRPr="00AD1560">
              <w:rPr>
                <w:rFonts w:eastAsia="Times New Roman"/>
                <w:lang w:val="en-AU"/>
              </w:rPr>
              <w:t>Measure</w:t>
            </w:r>
          </w:p>
        </w:tc>
        <w:tc>
          <w:tcPr>
            <w:tcW w:w="4224" w:type="dxa"/>
          </w:tcPr>
          <w:p w14:paraId="4C951916" w14:textId="629409C6" w:rsidR="00F86010" w:rsidRPr="00AD1560" w:rsidRDefault="00F86010" w:rsidP="002956FB">
            <w:pPr>
              <w:pStyle w:val="VDWCtablecolhead"/>
              <w:cnfStyle w:val="100000000000" w:firstRow="1" w:lastRow="0" w:firstColumn="0" w:lastColumn="0" w:oddVBand="0" w:evenVBand="0" w:oddHBand="0" w:evenHBand="0" w:firstRowFirstColumn="0" w:firstRowLastColumn="0" w:lastRowFirstColumn="0" w:lastRowLastColumn="0"/>
              <w:rPr>
                <w:lang w:val="en-AU"/>
              </w:rPr>
            </w:pPr>
            <w:r w:rsidRPr="00AD1560">
              <w:rPr>
                <w:rFonts w:eastAsia="Times New Roman"/>
                <w:lang w:val="en-AU"/>
              </w:rPr>
              <w:t>Pillar</w:t>
            </w:r>
          </w:p>
        </w:tc>
      </w:tr>
      <w:tr w:rsidR="00DB2F2B" w:rsidRPr="00AD1560" w14:paraId="50DD11E4" w14:textId="77777777" w:rsidTr="00295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3263DFAA" w14:textId="0B3FC683" w:rsidR="00F86010" w:rsidRPr="00AD1560" w:rsidRDefault="00F86010" w:rsidP="00047E7F">
            <w:pPr>
              <w:pStyle w:val="VDWCtabletext"/>
              <w:rPr>
                <w:lang w:val="en-AU"/>
              </w:rPr>
            </w:pPr>
            <w:r w:rsidRPr="00AD1560">
              <w:rPr>
                <w:lang w:val="en-AU"/>
              </w:rPr>
              <w:t>Number of notifications received</w:t>
            </w:r>
          </w:p>
        </w:tc>
        <w:tc>
          <w:tcPr>
            <w:tcW w:w="4224" w:type="dxa"/>
          </w:tcPr>
          <w:p w14:paraId="3C88381A" w14:textId="3DFAD268" w:rsidR="00F86010" w:rsidRPr="00AD1560" w:rsidRDefault="00F86010" w:rsidP="00047E7F">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Pillar 1</w:t>
            </w:r>
            <w:r w:rsidR="006D71E7" w:rsidRPr="00AD1560">
              <w:rPr>
                <w:lang w:val="en-AU"/>
              </w:rPr>
              <w:t>:</w:t>
            </w:r>
            <w:r w:rsidRPr="00AD1560">
              <w:rPr>
                <w:lang w:val="en-AU"/>
              </w:rPr>
              <w:t xml:space="preserve"> Safety and compliance</w:t>
            </w:r>
          </w:p>
        </w:tc>
      </w:tr>
      <w:tr w:rsidR="00DB2F2B" w:rsidRPr="00AD1560" w14:paraId="5464296D" w14:textId="77777777" w:rsidTr="00295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4C042681" w14:textId="399DA0A4" w:rsidR="00F86010" w:rsidRPr="00AD1560" w:rsidRDefault="00F86010" w:rsidP="00047E7F">
            <w:pPr>
              <w:pStyle w:val="VDWCtabletext"/>
              <w:rPr>
                <w:lang w:val="en-AU"/>
              </w:rPr>
            </w:pPr>
            <w:r w:rsidRPr="00AD1560">
              <w:rPr>
                <w:lang w:val="en-AU"/>
              </w:rPr>
              <w:t>Number of notifications closed</w:t>
            </w:r>
          </w:p>
        </w:tc>
        <w:tc>
          <w:tcPr>
            <w:tcW w:w="4224" w:type="dxa"/>
          </w:tcPr>
          <w:p w14:paraId="5645F210" w14:textId="7D710363" w:rsidR="00F86010" w:rsidRPr="00AD1560" w:rsidRDefault="00F86010" w:rsidP="00047E7F">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Pillar 1</w:t>
            </w:r>
            <w:r w:rsidR="006D71E7" w:rsidRPr="00AD1560">
              <w:rPr>
                <w:lang w:val="en-AU"/>
              </w:rPr>
              <w:t>:</w:t>
            </w:r>
            <w:r w:rsidRPr="00AD1560">
              <w:rPr>
                <w:lang w:val="en-AU"/>
              </w:rPr>
              <w:t xml:space="preserve"> Safety and compliance</w:t>
            </w:r>
          </w:p>
        </w:tc>
      </w:tr>
      <w:tr w:rsidR="00DB2F2B" w:rsidRPr="00AD1560" w14:paraId="5B6C9341" w14:textId="77777777" w:rsidTr="00295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21961DBB" w14:textId="53F358AC" w:rsidR="00F86010" w:rsidRPr="00AD1560" w:rsidRDefault="00F86010" w:rsidP="00047E7F">
            <w:pPr>
              <w:pStyle w:val="VDWCtabletext"/>
              <w:rPr>
                <w:lang w:val="en-AU"/>
              </w:rPr>
            </w:pPr>
            <w:r w:rsidRPr="00AD1560">
              <w:rPr>
                <w:lang w:val="en-AU"/>
              </w:rPr>
              <w:t>Number of complaints received</w:t>
            </w:r>
          </w:p>
        </w:tc>
        <w:tc>
          <w:tcPr>
            <w:tcW w:w="4224" w:type="dxa"/>
          </w:tcPr>
          <w:p w14:paraId="16FF4E53" w14:textId="1564DD01" w:rsidR="00F86010" w:rsidRPr="00AD1560" w:rsidRDefault="00F86010" w:rsidP="00047E7F">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Pillar 1</w:t>
            </w:r>
            <w:r w:rsidR="006D71E7" w:rsidRPr="00AD1560">
              <w:rPr>
                <w:lang w:val="en-AU"/>
              </w:rPr>
              <w:t>:</w:t>
            </w:r>
            <w:r w:rsidRPr="00AD1560">
              <w:rPr>
                <w:lang w:val="en-AU"/>
              </w:rPr>
              <w:t xml:space="preserve"> Safety and compliance</w:t>
            </w:r>
          </w:p>
        </w:tc>
      </w:tr>
      <w:tr w:rsidR="00DB2F2B" w:rsidRPr="00AD1560" w14:paraId="11F7892B" w14:textId="77777777" w:rsidTr="00295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6F59FAEE" w14:textId="30555039" w:rsidR="00F86010" w:rsidRPr="00AD1560" w:rsidRDefault="00F86010" w:rsidP="00047E7F">
            <w:pPr>
              <w:pStyle w:val="VDWCtabletext"/>
              <w:rPr>
                <w:lang w:val="en-AU"/>
              </w:rPr>
            </w:pPr>
            <w:r w:rsidRPr="00AD1560">
              <w:rPr>
                <w:lang w:val="en-AU"/>
              </w:rPr>
              <w:t>Number of investigations commenced</w:t>
            </w:r>
          </w:p>
        </w:tc>
        <w:tc>
          <w:tcPr>
            <w:tcW w:w="4224" w:type="dxa"/>
          </w:tcPr>
          <w:p w14:paraId="69FC5FE3" w14:textId="25C4AE1A" w:rsidR="00F86010" w:rsidRPr="00AD1560" w:rsidRDefault="00F86010" w:rsidP="00047E7F">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Pillar 1</w:t>
            </w:r>
            <w:r w:rsidR="006D71E7" w:rsidRPr="00AD1560">
              <w:rPr>
                <w:lang w:val="en-AU"/>
              </w:rPr>
              <w:t>:</w:t>
            </w:r>
            <w:r w:rsidRPr="00AD1560">
              <w:rPr>
                <w:lang w:val="en-AU"/>
              </w:rPr>
              <w:t xml:space="preserve"> Safety and compliance</w:t>
            </w:r>
          </w:p>
        </w:tc>
      </w:tr>
      <w:tr w:rsidR="00DB2F2B" w:rsidRPr="00AD1560" w14:paraId="29E7BDFF" w14:textId="77777777" w:rsidTr="00295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6055FA34" w14:textId="00A980C9" w:rsidR="00F86010" w:rsidRPr="00AD1560" w:rsidRDefault="00F86010" w:rsidP="00047E7F">
            <w:pPr>
              <w:pStyle w:val="VDWCtabletext"/>
              <w:rPr>
                <w:lang w:val="en-AU"/>
              </w:rPr>
            </w:pPr>
            <w:r w:rsidRPr="00AD1560">
              <w:rPr>
                <w:lang w:val="en-AU"/>
              </w:rPr>
              <w:t>Number of workers counselled</w:t>
            </w:r>
            <w:r w:rsidR="00DF788C" w:rsidRPr="00AD1560">
              <w:rPr>
                <w:lang w:val="en-AU"/>
              </w:rPr>
              <w:t xml:space="preserve"> (</w:t>
            </w:r>
            <w:r w:rsidR="00DF788C" w:rsidRPr="00AD1560">
              <w:rPr>
                <w:b/>
                <w:bCs/>
                <w:lang w:val="en-AU"/>
              </w:rPr>
              <w:t>See note</w:t>
            </w:r>
            <w:r w:rsidR="00DF788C" w:rsidRPr="00AD1560">
              <w:rPr>
                <w:lang w:val="en-AU"/>
              </w:rPr>
              <w:t>)</w:t>
            </w:r>
          </w:p>
        </w:tc>
        <w:tc>
          <w:tcPr>
            <w:tcW w:w="4224" w:type="dxa"/>
          </w:tcPr>
          <w:p w14:paraId="5D6C96F3" w14:textId="7D01F207" w:rsidR="00F86010" w:rsidRPr="00AD1560" w:rsidRDefault="00F86010" w:rsidP="00047E7F">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Pillar 1</w:t>
            </w:r>
            <w:r w:rsidR="006D71E7" w:rsidRPr="00AD1560">
              <w:rPr>
                <w:lang w:val="en-AU"/>
              </w:rPr>
              <w:t>:</w:t>
            </w:r>
            <w:r w:rsidRPr="00AD1560">
              <w:rPr>
                <w:lang w:val="en-AU"/>
              </w:rPr>
              <w:t xml:space="preserve"> Safety and compliance</w:t>
            </w:r>
          </w:p>
        </w:tc>
      </w:tr>
      <w:tr w:rsidR="00DB2F2B" w:rsidRPr="00AD1560" w14:paraId="68B03B08" w14:textId="77777777" w:rsidTr="00295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3A70B1AF" w14:textId="75E20883" w:rsidR="00F86010" w:rsidRPr="00AD1560" w:rsidRDefault="00F86010" w:rsidP="00047E7F">
            <w:pPr>
              <w:pStyle w:val="VDWCtabletext"/>
              <w:rPr>
                <w:lang w:val="en-AU"/>
              </w:rPr>
            </w:pPr>
            <w:r w:rsidRPr="00AD1560">
              <w:rPr>
                <w:lang w:val="en-AU"/>
              </w:rPr>
              <w:t>Number of applications for registration</w:t>
            </w:r>
          </w:p>
        </w:tc>
        <w:tc>
          <w:tcPr>
            <w:tcW w:w="4224" w:type="dxa"/>
          </w:tcPr>
          <w:p w14:paraId="105D5C72" w14:textId="6CB8A5D8" w:rsidR="00F86010" w:rsidRPr="00AD1560" w:rsidRDefault="007F168A" w:rsidP="00047E7F">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Pillar 2</w:t>
            </w:r>
            <w:r w:rsidR="006D71E7" w:rsidRPr="00AD1560">
              <w:rPr>
                <w:lang w:val="en-AU"/>
              </w:rPr>
              <w:t>:</w:t>
            </w:r>
            <w:r w:rsidRPr="00AD1560">
              <w:rPr>
                <w:lang w:val="en-AU"/>
              </w:rPr>
              <w:t xml:space="preserve"> Registration</w:t>
            </w:r>
          </w:p>
        </w:tc>
      </w:tr>
      <w:tr w:rsidR="00DB2F2B" w:rsidRPr="00AD1560" w14:paraId="614E14AE" w14:textId="77777777" w:rsidTr="00295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4BD595E5" w14:textId="106460CB" w:rsidR="00F86010" w:rsidRPr="00AD1560" w:rsidRDefault="00F86010" w:rsidP="00047E7F">
            <w:pPr>
              <w:pStyle w:val="VDWCtabletext"/>
              <w:rPr>
                <w:lang w:val="en-AU"/>
              </w:rPr>
            </w:pPr>
            <w:r w:rsidRPr="00AD1560">
              <w:rPr>
                <w:lang w:val="en-AU"/>
              </w:rPr>
              <w:t>Number of registrations granted</w:t>
            </w:r>
          </w:p>
        </w:tc>
        <w:tc>
          <w:tcPr>
            <w:tcW w:w="4224" w:type="dxa"/>
          </w:tcPr>
          <w:p w14:paraId="5BE452EC" w14:textId="60BC39B8" w:rsidR="00F86010" w:rsidRPr="00AD1560" w:rsidRDefault="007F168A" w:rsidP="00047E7F">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Pillar 2</w:t>
            </w:r>
            <w:r w:rsidR="006D71E7" w:rsidRPr="00AD1560">
              <w:rPr>
                <w:lang w:val="en-AU"/>
              </w:rPr>
              <w:t>:</w:t>
            </w:r>
            <w:r w:rsidRPr="00AD1560">
              <w:rPr>
                <w:lang w:val="en-AU"/>
              </w:rPr>
              <w:t xml:space="preserve"> Registration</w:t>
            </w:r>
          </w:p>
        </w:tc>
      </w:tr>
      <w:tr w:rsidR="00DB2F2B" w:rsidRPr="00AD1560" w14:paraId="2725DE58" w14:textId="77777777" w:rsidTr="00295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6B9F098D" w14:textId="017B56E9" w:rsidR="00F86010" w:rsidRPr="00AD1560" w:rsidRDefault="00F86010" w:rsidP="00047E7F">
            <w:pPr>
              <w:pStyle w:val="VDWCtabletext"/>
              <w:rPr>
                <w:lang w:val="en-AU"/>
              </w:rPr>
            </w:pPr>
            <w:r w:rsidRPr="00AD1560">
              <w:rPr>
                <w:lang w:val="en-AU"/>
              </w:rPr>
              <w:t>Number of stakeholders engaged through meetings</w:t>
            </w:r>
          </w:p>
        </w:tc>
        <w:tc>
          <w:tcPr>
            <w:tcW w:w="4224" w:type="dxa"/>
          </w:tcPr>
          <w:p w14:paraId="4F3E6141" w14:textId="4C7F7589" w:rsidR="00F86010" w:rsidRPr="00AD1560" w:rsidRDefault="007F168A" w:rsidP="00047E7F">
            <w:pPr>
              <w:pStyle w:val="VDWCtabletext"/>
              <w:cnfStyle w:val="000000010000" w:firstRow="0" w:lastRow="0" w:firstColumn="0" w:lastColumn="0" w:oddVBand="0" w:evenVBand="0" w:oddHBand="0" w:evenHBand="1" w:firstRowFirstColumn="0" w:firstRowLastColumn="0" w:lastRowFirstColumn="0" w:lastRowLastColumn="0"/>
              <w:rPr>
                <w:lang w:val="en-AU"/>
              </w:rPr>
            </w:pPr>
            <w:r w:rsidRPr="00AD1560">
              <w:rPr>
                <w:lang w:val="en-AU"/>
              </w:rPr>
              <w:t>Pillar 4</w:t>
            </w:r>
            <w:r w:rsidR="006D71E7" w:rsidRPr="00AD1560">
              <w:rPr>
                <w:lang w:val="en-AU"/>
              </w:rPr>
              <w:t>:</w:t>
            </w:r>
            <w:r w:rsidRPr="00AD1560">
              <w:rPr>
                <w:lang w:val="en-AU"/>
              </w:rPr>
              <w:t xml:space="preserve"> Engagement and communication</w:t>
            </w:r>
          </w:p>
        </w:tc>
      </w:tr>
      <w:tr w:rsidR="00DB2F2B" w:rsidRPr="00AD1560" w14:paraId="013FBDF1" w14:textId="77777777" w:rsidTr="00295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7" w:type="dxa"/>
          </w:tcPr>
          <w:p w14:paraId="66DA5CB4" w14:textId="6F288B77" w:rsidR="00F86010" w:rsidRPr="00AD1560" w:rsidRDefault="00F86010" w:rsidP="00047E7F">
            <w:pPr>
              <w:pStyle w:val="VDWCtabletext"/>
              <w:rPr>
                <w:lang w:val="en-AU"/>
              </w:rPr>
            </w:pPr>
            <w:r w:rsidRPr="00AD1560">
              <w:rPr>
                <w:lang w:val="en-AU"/>
              </w:rPr>
              <w:t>Number of documents downloaded from website</w:t>
            </w:r>
          </w:p>
        </w:tc>
        <w:tc>
          <w:tcPr>
            <w:tcW w:w="4224" w:type="dxa"/>
          </w:tcPr>
          <w:p w14:paraId="622359FA" w14:textId="09506F84" w:rsidR="00F86010" w:rsidRPr="00AD1560" w:rsidRDefault="007F168A" w:rsidP="00047E7F">
            <w:pPr>
              <w:pStyle w:val="VDWCtabletext"/>
              <w:cnfStyle w:val="000000100000" w:firstRow="0" w:lastRow="0" w:firstColumn="0" w:lastColumn="0" w:oddVBand="0" w:evenVBand="0" w:oddHBand="1" w:evenHBand="0" w:firstRowFirstColumn="0" w:firstRowLastColumn="0" w:lastRowFirstColumn="0" w:lastRowLastColumn="0"/>
              <w:rPr>
                <w:lang w:val="en-AU"/>
              </w:rPr>
            </w:pPr>
            <w:r w:rsidRPr="00AD1560">
              <w:rPr>
                <w:lang w:val="en-AU"/>
              </w:rPr>
              <w:t>Pillar 4</w:t>
            </w:r>
            <w:r w:rsidR="006D71E7" w:rsidRPr="00AD1560">
              <w:rPr>
                <w:lang w:val="en-AU"/>
              </w:rPr>
              <w:t>:</w:t>
            </w:r>
            <w:r w:rsidRPr="00AD1560">
              <w:rPr>
                <w:lang w:val="en-AU"/>
              </w:rPr>
              <w:t xml:space="preserve"> Engagement and communication</w:t>
            </w:r>
          </w:p>
        </w:tc>
      </w:tr>
    </w:tbl>
    <w:p w14:paraId="5659F5B6" w14:textId="7D1F16CB" w:rsidR="00DF788C" w:rsidRPr="00AD1560" w:rsidRDefault="00DF788C" w:rsidP="002956FB">
      <w:pPr>
        <w:pStyle w:val="VDWCtablefigurenote"/>
      </w:pPr>
      <w:r w:rsidRPr="00AD1560">
        <w:rPr>
          <w:b/>
          <w:bCs/>
        </w:rPr>
        <w:t>Note</w:t>
      </w:r>
      <w:r w:rsidRPr="00AD1560">
        <w:t>: Counselling has been the predominate compliance and enforcement tool in the establishment phase of the Scheme to align with the educative approach to compliance and ensure that disability workers understand their obligations. As the Scheme becomes more mature and expectations and understanding of regulatory obligations improve, a proportionate response is likely to include a wider range of compliance and enforcement tools.</w:t>
      </w:r>
    </w:p>
    <w:p w14:paraId="70091738" w14:textId="353E93AD" w:rsidR="007F168A" w:rsidRPr="00AD1560" w:rsidRDefault="007F168A">
      <w:pPr>
        <w:rPr>
          <w:rFonts w:ascii="Arial" w:eastAsia="Times" w:hAnsi="Arial"/>
          <w:sz w:val="22"/>
        </w:rPr>
      </w:pPr>
      <w:r w:rsidRPr="00AD1560">
        <w:br w:type="page"/>
      </w:r>
    </w:p>
    <w:p w14:paraId="3CB436AE" w14:textId="18AA2075" w:rsidR="00F86010" w:rsidRPr="00AD1560" w:rsidRDefault="007F168A" w:rsidP="007F168A">
      <w:pPr>
        <w:pStyle w:val="Heading1"/>
      </w:pPr>
      <w:bookmarkStart w:id="32" w:name="_Toc115983195"/>
      <w:r w:rsidRPr="00AD1560">
        <w:lastRenderedPageBreak/>
        <w:t>Approach to risk management</w:t>
      </w:r>
      <w:bookmarkEnd w:id="32"/>
    </w:p>
    <w:p w14:paraId="4F62616F" w14:textId="77777777" w:rsidR="007F168A" w:rsidRPr="00AD1560" w:rsidRDefault="007F168A" w:rsidP="002956FB">
      <w:pPr>
        <w:pStyle w:val="Introtext"/>
      </w:pPr>
      <w:r w:rsidRPr="00AD1560">
        <w:t>We have taken a Scheme view of our risks (encompassing the Commission and Board). The significance of these risks will vary over time.</w:t>
      </w:r>
    </w:p>
    <w:p w14:paraId="0C40C888" w14:textId="77777777" w:rsidR="007F168A" w:rsidRPr="00AD1560" w:rsidRDefault="007F168A" w:rsidP="007F168A">
      <w:pPr>
        <w:pStyle w:val="VDWCbody"/>
      </w:pPr>
      <w:r w:rsidRPr="00AD1560">
        <w:t>Broadly, these risks relate to:</w:t>
      </w:r>
    </w:p>
    <w:p w14:paraId="078534BD" w14:textId="7DEE1E1E" w:rsidR="007F168A" w:rsidRPr="00AD1560" w:rsidRDefault="007F168A" w:rsidP="002956FB">
      <w:pPr>
        <w:pStyle w:val="VDWCbullet1"/>
      </w:pPr>
      <w:r w:rsidRPr="00AD1560">
        <w:t>protecting people with disabilities and their wellbeing through promoting the Scheme and taking appropriate compliance and</w:t>
      </w:r>
      <w:r w:rsidR="00DB2F2B" w:rsidRPr="00AD1560">
        <w:t xml:space="preserve"> </w:t>
      </w:r>
      <w:r w:rsidRPr="00AD1560">
        <w:t>enforcement action regarding the quality and safety of services received</w:t>
      </w:r>
    </w:p>
    <w:p w14:paraId="1C44DF6C" w14:textId="33065447" w:rsidR="007F168A" w:rsidRPr="00AD1560" w:rsidRDefault="007F168A" w:rsidP="002956FB">
      <w:pPr>
        <w:pStyle w:val="VDWCbullet1"/>
      </w:pPr>
      <w:r w:rsidRPr="00AD1560">
        <w:t>promoting the Scheme and the professionalisation of the disability workforce to enhance the quality and safety of services they provide</w:t>
      </w:r>
    </w:p>
    <w:p w14:paraId="193C04E2" w14:textId="14DBFE30" w:rsidR="007F168A" w:rsidRPr="00AD1560" w:rsidRDefault="007F168A" w:rsidP="002956FB">
      <w:pPr>
        <w:pStyle w:val="VDWCbullet1"/>
      </w:pPr>
      <w:r w:rsidRPr="00AD1560">
        <w:t>the effective operation of the Scheme, appropriate resourcing and well-supported Commission and Board to deliver outcomes</w:t>
      </w:r>
    </w:p>
    <w:p w14:paraId="3AC50BCA" w14:textId="34FD681A" w:rsidR="007F168A" w:rsidRPr="00AD1560" w:rsidRDefault="007F168A" w:rsidP="002956FB">
      <w:pPr>
        <w:pStyle w:val="VDWCbodyafterbullets"/>
      </w:pPr>
      <w:r w:rsidRPr="00AD1560">
        <w:t>Operational risks are actively managed through ongoing internal discussions and an internal audit plan that actively addresses the way</w:t>
      </w:r>
      <w:r w:rsidR="00DB2F2B" w:rsidRPr="00AD1560">
        <w:t xml:space="preserve"> </w:t>
      </w:r>
      <w:r w:rsidRPr="00AD1560">
        <w:t>both the Board and Commission operate to manage the Scheme. When required, these risks are escalated in various ways, for example to the Audit and Risk Committee or with the Commissioner and Board Chair directly.</w:t>
      </w:r>
    </w:p>
    <w:p w14:paraId="3158C0C0" w14:textId="34620B0B" w:rsidR="007061D5" w:rsidRPr="00AD1560" w:rsidRDefault="007061D5" w:rsidP="00F25D33">
      <w:pPr>
        <w:pStyle w:val="VDWCbody"/>
      </w:pPr>
      <w:r w:rsidRPr="00AD1560">
        <w:br w:type="page"/>
      </w:r>
    </w:p>
    <w:p w14:paraId="34E75FF7" w14:textId="205CD2EB" w:rsidR="007061D5" w:rsidRPr="00AD1560" w:rsidRDefault="007061D5" w:rsidP="007061D5">
      <w:pPr>
        <w:pStyle w:val="Heading1"/>
      </w:pPr>
      <w:bookmarkStart w:id="33" w:name="_Appendix_1:_Disclosure"/>
      <w:bookmarkStart w:id="34" w:name="_Toc115983196"/>
      <w:bookmarkEnd w:id="33"/>
      <w:r w:rsidRPr="00AD1560">
        <w:lastRenderedPageBreak/>
        <w:t xml:space="preserve">Appendix 1: </w:t>
      </w:r>
      <w:r w:rsidR="007F168A" w:rsidRPr="00AD1560">
        <w:t>Image descriptions</w:t>
      </w:r>
      <w:bookmarkEnd w:id="34"/>
    </w:p>
    <w:p w14:paraId="24144EB3" w14:textId="5DC02640" w:rsidR="0027340F" w:rsidRPr="00AD1560" w:rsidRDefault="0027340F" w:rsidP="0027340F">
      <w:pPr>
        <w:pStyle w:val="Heading2notinTOC"/>
      </w:pPr>
      <w:r w:rsidRPr="00AD1560">
        <w:t xml:space="preserve">Figure </w:t>
      </w:r>
      <w:r w:rsidR="009031FF" w:rsidRPr="00AD1560">
        <w:t>3</w:t>
      </w:r>
      <w:r w:rsidRPr="00AD1560">
        <w:t>: Our strategic plan 2022 to 2024 on a page</w:t>
      </w:r>
    </w:p>
    <w:p w14:paraId="2891A96A" w14:textId="412F7E3F" w:rsidR="008B699A" w:rsidRPr="00AD1560" w:rsidRDefault="00DF788C" w:rsidP="008B699A">
      <w:pPr>
        <w:pStyle w:val="VDWCbody"/>
      </w:pPr>
      <w:r w:rsidRPr="00AD1560">
        <w:t>F</w:t>
      </w:r>
      <w:r w:rsidR="008B699A" w:rsidRPr="00AD1560">
        <w:t xml:space="preserve">igure </w:t>
      </w:r>
      <w:r w:rsidR="009031FF" w:rsidRPr="00AD1560">
        <w:t>3</w:t>
      </w:r>
      <w:r w:rsidRPr="00AD1560">
        <w:t xml:space="preserve"> </w:t>
      </w:r>
      <w:r w:rsidR="008B699A" w:rsidRPr="00AD1560">
        <w:t>summarises the Victorian disability worker regulation scheme strategic plan for 2022 to 2024.</w:t>
      </w:r>
    </w:p>
    <w:p w14:paraId="59116C2D" w14:textId="04CDD048" w:rsidR="008B699A" w:rsidRPr="00AD1560" w:rsidRDefault="008B699A" w:rsidP="008B699A">
      <w:pPr>
        <w:pStyle w:val="VDWCbody"/>
      </w:pPr>
      <w:r w:rsidRPr="00AD1560">
        <w:t>It states the Commission and Board</w:t>
      </w:r>
      <w:r w:rsidR="000A5B6F" w:rsidRPr="00AD1560">
        <w:t>’s</w:t>
      </w:r>
      <w:r w:rsidRPr="00AD1560">
        <w:t xml:space="preserve"> vision, purpose and guiding principle</w:t>
      </w:r>
      <w:r w:rsidR="000A5B6F" w:rsidRPr="00AD1560">
        <w:t>.</w:t>
      </w:r>
    </w:p>
    <w:p w14:paraId="5220846A" w14:textId="77777777" w:rsidR="000A5B6F" w:rsidRPr="00AD1560" w:rsidRDefault="000A5B6F" w:rsidP="008B699A">
      <w:pPr>
        <w:pStyle w:val="VDWCbody"/>
      </w:pPr>
      <w:r w:rsidRPr="00AD1560">
        <w:t>For each pillar, it also summarises the:</w:t>
      </w:r>
    </w:p>
    <w:p w14:paraId="65606382" w14:textId="77777777" w:rsidR="000A5B6F" w:rsidRPr="00AD1560" w:rsidRDefault="000A5B6F" w:rsidP="000A5B6F">
      <w:pPr>
        <w:pStyle w:val="VDWCbullet1"/>
      </w:pPr>
      <w:r w:rsidRPr="00AD1560">
        <w:t>outcome to be achieved by mid-2024</w:t>
      </w:r>
    </w:p>
    <w:p w14:paraId="66BC0649" w14:textId="2FB8F374" w:rsidR="000A5B6F" w:rsidRPr="00AD1560" w:rsidRDefault="000A5B6F" w:rsidP="002956FB">
      <w:pPr>
        <w:pStyle w:val="VDWCbullet1"/>
      </w:pPr>
      <w:r w:rsidRPr="00AD1560">
        <w:t>priorities for 2022 to 2024.</w:t>
      </w:r>
    </w:p>
    <w:p w14:paraId="292C4879" w14:textId="2E07E1D1" w:rsidR="0027340F" w:rsidRPr="00AD1560" w:rsidRDefault="0027340F" w:rsidP="002956FB">
      <w:pPr>
        <w:pStyle w:val="Heading3"/>
      </w:pPr>
      <w:r w:rsidRPr="00AD1560">
        <w:t xml:space="preserve">The Victorian Disability Worker Regulation Scheme </w:t>
      </w:r>
      <w:r w:rsidR="00F02840" w:rsidRPr="00AD1560">
        <w:t>strategic p</w:t>
      </w:r>
      <w:r w:rsidRPr="00AD1560">
        <w:t>lan 2022-2023 to 2023-2024</w:t>
      </w:r>
    </w:p>
    <w:p w14:paraId="1F877089" w14:textId="1A78C537" w:rsidR="0027340F" w:rsidRPr="00AD1560" w:rsidRDefault="0027340F" w:rsidP="002956FB">
      <w:pPr>
        <w:pStyle w:val="Heading4"/>
      </w:pPr>
      <w:r w:rsidRPr="00AD1560">
        <w:t>Vision</w:t>
      </w:r>
    </w:p>
    <w:p w14:paraId="26329245" w14:textId="3C1C4DEA" w:rsidR="0027340F" w:rsidRPr="00AD1560" w:rsidRDefault="0027340F" w:rsidP="0027340F">
      <w:pPr>
        <w:pStyle w:val="VDWCbody"/>
      </w:pPr>
      <w:r w:rsidRPr="00AD1560">
        <w:t>People with disability can choose services that best meet their needs and supports their quality of life, free from abuse and neglect</w:t>
      </w:r>
      <w:r w:rsidR="000A5B6F" w:rsidRPr="00AD1560">
        <w:t>.</w:t>
      </w:r>
    </w:p>
    <w:p w14:paraId="3CFB4C47" w14:textId="58B0456F" w:rsidR="0027340F" w:rsidRPr="00AD1560" w:rsidRDefault="0027340F" w:rsidP="002956FB">
      <w:pPr>
        <w:pStyle w:val="Heading4"/>
      </w:pPr>
      <w:r w:rsidRPr="00AD1560">
        <w:t>Purpose</w:t>
      </w:r>
    </w:p>
    <w:p w14:paraId="7D648824" w14:textId="0014373D" w:rsidR="0027340F" w:rsidRPr="00AD1560" w:rsidRDefault="0027340F" w:rsidP="0027340F">
      <w:pPr>
        <w:pStyle w:val="VDWCbody"/>
      </w:pPr>
      <w:r w:rsidRPr="00AD1560">
        <w:t>We regulate all workers providing disability services in Victoria, regardless of how they are funded, setting standards for registration and training, resolving complaints and prohibiting unsafe workers</w:t>
      </w:r>
      <w:r w:rsidR="000A5B6F" w:rsidRPr="00AD1560">
        <w:t>.</w:t>
      </w:r>
    </w:p>
    <w:p w14:paraId="79056AA5" w14:textId="415621C4" w:rsidR="0027340F" w:rsidRPr="00AD1560" w:rsidRDefault="0027340F" w:rsidP="002956FB">
      <w:pPr>
        <w:pStyle w:val="Heading4"/>
      </w:pPr>
      <w:r w:rsidRPr="00AD1560">
        <w:t>Guiding principle</w:t>
      </w:r>
    </w:p>
    <w:p w14:paraId="205A22A3" w14:textId="13D48A7B" w:rsidR="0027340F" w:rsidRPr="00AD1560" w:rsidRDefault="0027340F" w:rsidP="0027340F">
      <w:pPr>
        <w:pStyle w:val="VDWCbody"/>
      </w:pPr>
      <w:r w:rsidRPr="00AD1560">
        <w:t>People with disability who use disability services have the same rights as other members of the community</w:t>
      </w:r>
      <w:r w:rsidR="000A5B6F" w:rsidRPr="00AD1560">
        <w:t>.</w:t>
      </w:r>
    </w:p>
    <w:p w14:paraId="42434ACC" w14:textId="77777777" w:rsidR="0052189C" w:rsidRPr="00AD1560" w:rsidRDefault="0052189C" w:rsidP="0052189C">
      <w:pPr>
        <w:pStyle w:val="Heading4"/>
      </w:pPr>
      <w:r w:rsidRPr="00AD1560">
        <w:t>Pillar 1: Safety and compliance</w:t>
      </w:r>
    </w:p>
    <w:p w14:paraId="2A9952AC" w14:textId="77777777" w:rsidR="0052189C" w:rsidRPr="00AD1560" w:rsidRDefault="0052189C" w:rsidP="0052189C">
      <w:pPr>
        <w:pStyle w:val="VDWCbody"/>
        <w:rPr>
          <w:rStyle w:val="Strong"/>
        </w:rPr>
      </w:pPr>
      <w:r w:rsidRPr="00AD1560">
        <w:rPr>
          <w:rStyle w:val="Strong"/>
        </w:rPr>
        <w:t>Outcome by mid-2024:</w:t>
      </w:r>
    </w:p>
    <w:p w14:paraId="57054CCD" w14:textId="77777777" w:rsidR="0052189C" w:rsidRPr="00AD1560" w:rsidRDefault="0052189C" w:rsidP="0052189C">
      <w:pPr>
        <w:pStyle w:val="VDWCbullet1"/>
      </w:pPr>
      <w:r w:rsidRPr="00AD1560">
        <w:t>We have an accessible responsive and balanced notifications, complaints and assessment system.</w:t>
      </w:r>
    </w:p>
    <w:p w14:paraId="016036C8" w14:textId="77777777" w:rsidR="0052189C" w:rsidRPr="00AD1560" w:rsidRDefault="0052189C" w:rsidP="0052189C">
      <w:pPr>
        <w:pStyle w:val="VDWCbodyafterbullets"/>
        <w:rPr>
          <w:rStyle w:val="Strong"/>
        </w:rPr>
      </w:pPr>
      <w:r w:rsidRPr="00AD1560">
        <w:rPr>
          <w:rStyle w:val="Strong"/>
        </w:rPr>
        <w:t>Priorities for 2022 to 2024:</w:t>
      </w:r>
    </w:p>
    <w:p w14:paraId="6322561E" w14:textId="77777777" w:rsidR="0052189C" w:rsidRPr="00AD1560" w:rsidRDefault="0052189C" w:rsidP="0052189C">
      <w:pPr>
        <w:pStyle w:val="VDWCbullet1"/>
        <w:rPr>
          <w:rFonts w:eastAsia="Segoe UI"/>
          <w:b/>
          <w:bCs/>
          <w:szCs w:val="22"/>
        </w:rPr>
      </w:pPr>
      <w:r w:rsidRPr="00AD1560">
        <w:t xml:space="preserve">1.1 Develop and implement a </w:t>
      </w:r>
      <w:r w:rsidRPr="00AD1560">
        <w:rPr>
          <w:b/>
          <w:bCs/>
        </w:rPr>
        <w:t>compliance framework</w:t>
      </w:r>
      <w:r w:rsidRPr="00AD1560">
        <w:t xml:space="preserve"> for </w:t>
      </w:r>
      <w:r w:rsidRPr="00AD1560">
        <w:rPr>
          <w:rFonts w:eastAsia="Segoe UI"/>
          <w:szCs w:val="22"/>
        </w:rPr>
        <w:t>the conduct of registered and unregistered workers.</w:t>
      </w:r>
    </w:p>
    <w:p w14:paraId="374EB755" w14:textId="77777777" w:rsidR="0052189C" w:rsidRPr="00AD1560" w:rsidRDefault="0052189C" w:rsidP="0052189C">
      <w:pPr>
        <w:pStyle w:val="VDWCbullet1"/>
      </w:pPr>
      <w:r w:rsidRPr="00AD1560">
        <w:rPr>
          <w:b/>
          <w:bCs/>
        </w:rPr>
        <w:t>1.2 Establish and implement procedures for receiving</w:t>
      </w:r>
      <w:r w:rsidRPr="00AD1560">
        <w:t>, assessing and actioning notifications and complaints.</w:t>
      </w:r>
    </w:p>
    <w:p w14:paraId="61DC158A" w14:textId="77777777" w:rsidR="0052189C" w:rsidRPr="00AD1560" w:rsidRDefault="0052189C" w:rsidP="0052189C">
      <w:pPr>
        <w:pStyle w:val="VDWCbullet1"/>
      </w:pPr>
      <w:r w:rsidRPr="00AD1560">
        <w:t xml:space="preserve">1.3 Implement </w:t>
      </w:r>
      <w:r w:rsidRPr="00AD1560">
        <w:rPr>
          <w:b/>
          <w:bCs/>
        </w:rPr>
        <w:t>monitoring, evaluation and continuous improvement</w:t>
      </w:r>
      <w:r w:rsidRPr="00AD1560">
        <w:t xml:space="preserve"> processes in relation to complaints and notification.</w:t>
      </w:r>
    </w:p>
    <w:p w14:paraId="53332AEB" w14:textId="77777777" w:rsidR="0052189C" w:rsidRPr="00AD1560" w:rsidRDefault="0052189C" w:rsidP="0052189C">
      <w:pPr>
        <w:pStyle w:val="VDWCbullet1"/>
      </w:pPr>
      <w:r w:rsidRPr="00AD1560">
        <w:t xml:space="preserve">1.4 Raise </w:t>
      </w:r>
      <w:r w:rsidRPr="00AD1560">
        <w:rPr>
          <w:b/>
          <w:bCs/>
        </w:rPr>
        <w:t>awareness</w:t>
      </w:r>
      <w:r w:rsidRPr="00AD1560">
        <w:t xml:space="preserve"> of the Scheme's complaints and notifications process.</w:t>
      </w:r>
    </w:p>
    <w:p w14:paraId="6D0266C4" w14:textId="77777777" w:rsidR="0052189C" w:rsidRPr="00AD1560" w:rsidRDefault="0052189C" w:rsidP="0052189C">
      <w:pPr>
        <w:pStyle w:val="VDWCbody"/>
      </w:pPr>
      <w:r w:rsidRPr="00AD1560">
        <w:br w:type="page"/>
      </w:r>
    </w:p>
    <w:p w14:paraId="102D4E8A" w14:textId="77777777" w:rsidR="0052189C" w:rsidRPr="00AD1560" w:rsidRDefault="0052189C" w:rsidP="0052189C">
      <w:pPr>
        <w:pStyle w:val="Heading4"/>
      </w:pPr>
      <w:r w:rsidRPr="00AD1560">
        <w:lastRenderedPageBreak/>
        <w:t>Pillar 2: Registration</w:t>
      </w:r>
    </w:p>
    <w:p w14:paraId="352AB5D0" w14:textId="77777777" w:rsidR="0052189C" w:rsidRPr="00AD1560" w:rsidRDefault="0052189C" w:rsidP="0052189C">
      <w:pPr>
        <w:pStyle w:val="VDWCbody"/>
        <w:rPr>
          <w:rStyle w:val="Strong"/>
        </w:rPr>
      </w:pPr>
      <w:r w:rsidRPr="00AD1560">
        <w:rPr>
          <w:rStyle w:val="Strong"/>
        </w:rPr>
        <w:t>Outcome by mid-2024:</w:t>
      </w:r>
    </w:p>
    <w:p w14:paraId="428DB073" w14:textId="77777777" w:rsidR="0052189C" w:rsidRPr="00AD1560" w:rsidRDefault="0052189C" w:rsidP="0052189C">
      <w:pPr>
        <w:pStyle w:val="VDWCbullet1"/>
      </w:pPr>
      <w:r w:rsidRPr="00AD1560">
        <w:t>The percentage of the disability workforce that is registered is growing steadily.</w:t>
      </w:r>
    </w:p>
    <w:p w14:paraId="50B6F4FB" w14:textId="77777777" w:rsidR="0052189C" w:rsidRPr="00AD1560" w:rsidRDefault="0052189C" w:rsidP="0052189C">
      <w:pPr>
        <w:pStyle w:val="VDWCbodyafterbullets"/>
        <w:rPr>
          <w:rStyle w:val="Strong"/>
        </w:rPr>
      </w:pPr>
      <w:r w:rsidRPr="00AD1560">
        <w:rPr>
          <w:rStyle w:val="Strong"/>
        </w:rPr>
        <w:t>Priorities for 2022 to 2024:</w:t>
      </w:r>
    </w:p>
    <w:p w14:paraId="15E12CC9" w14:textId="77777777" w:rsidR="0052189C" w:rsidRPr="00AD1560" w:rsidRDefault="0052189C" w:rsidP="0052189C">
      <w:pPr>
        <w:pStyle w:val="VDWCbullet1"/>
      </w:pPr>
      <w:r w:rsidRPr="00AD1560">
        <w:t xml:space="preserve">2.1 </w:t>
      </w:r>
      <w:r w:rsidRPr="00AD1560">
        <w:rPr>
          <w:b/>
          <w:bCs/>
        </w:rPr>
        <w:t>Build knowledge of the benefits of registration</w:t>
      </w:r>
      <w:r w:rsidRPr="00AD1560">
        <w:t xml:space="preserve"> for disability support workers, their employers, and for people with disability, their families, carers and advocates.</w:t>
      </w:r>
    </w:p>
    <w:p w14:paraId="7A7FC833" w14:textId="77777777" w:rsidR="0052189C" w:rsidRPr="00AD1560" w:rsidRDefault="0052189C" w:rsidP="0052189C">
      <w:pPr>
        <w:pStyle w:val="VDWCbullet1"/>
      </w:pPr>
      <w:r w:rsidRPr="00AD1560">
        <w:t xml:space="preserve">2.2 Ensure the </w:t>
      </w:r>
      <w:r w:rsidRPr="00AD1560">
        <w:rPr>
          <w:b/>
          <w:bCs/>
        </w:rPr>
        <w:t>registration process</w:t>
      </w:r>
      <w:r w:rsidRPr="00AD1560">
        <w:t xml:space="preserve"> is simple quick and easy to use.</w:t>
      </w:r>
    </w:p>
    <w:p w14:paraId="13303AAD" w14:textId="77777777" w:rsidR="0052189C" w:rsidRPr="00AD1560" w:rsidRDefault="0052189C" w:rsidP="0052189C">
      <w:pPr>
        <w:pStyle w:val="VDWCbullet1"/>
      </w:pPr>
      <w:r w:rsidRPr="00AD1560">
        <w:t xml:space="preserve">2.3 </w:t>
      </w:r>
      <w:r w:rsidRPr="00AD1560">
        <w:rPr>
          <w:b/>
          <w:bCs/>
        </w:rPr>
        <w:t>Promote registration</w:t>
      </w:r>
      <w:r w:rsidRPr="00AD1560">
        <w:t xml:space="preserve"> to disability support workers.</w:t>
      </w:r>
    </w:p>
    <w:p w14:paraId="3C47B2EC" w14:textId="77777777" w:rsidR="0052189C" w:rsidRPr="00AD1560" w:rsidRDefault="0052189C" w:rsidP="0052189C">
      <w:pPr>
        <w:pStyle w:val="VDWCbullet1"/>
      </w:pPr>
      <w:r w:rsidRPr="00AD1560">
        <w:t xml:space="preserve">2.4 </w:t>
      </w:r>
      <w:r w:rsidRPr="00AD1560">
        <w:rPr>
          <w:b/>
          <w:bCs/>
        </w:rPr>
        <w:t>Build demand for registered disability support workers</w:t>
      </w:r>
      <w:r w:rsidRPr="00AD1560">
        <w:t xml:space="preserve"> from:</w:t>
      </w:r>
    </w:p>
    <w:p w14:paraId="25A7EACB" w14:textId="77777777" w:rsidR="0052189C" w:rsidRPr="00AD1560" w:rsidRDefault="0052189C" w:rsidP="0052189C">
      <w:pPr>
        <w:pStyle w:val="VDWCbullet2"/>
      </w:pPr>
      <w:r w:rsidRPr="00AD1560">
        <w:t>people with disability, their families, carers and advocates</w:t>
      </w:r>
    </w:p>
    <w:p w14:paraId="35E7262B" w14:textId="77777777" w:rsidR="0052189C" w:rsidRPr="00AD1560" w:rsidRDefault="0052189C" w:rsidP="0052189C">
      <w:pPr>
        <w:pStyle w:val="VDWCbullet2"/>
      </w:pPr>
      <w:r w:rsidRPr="00AD1560">
        <w:t>service providers.</w:t>
      </w:r>
    </w:p>
    <w:p w14:paraId="7FB010D7" w14:textId="77777777" w:rsidR="0052189C" w:rsidRPr="00AD1560" w:rsidRDefault="0052189C" w:rsidP="0052189C">
      <w:pPr>
        <w:pStyle w:val="Heading4"/>
      </w:pPr>
      <w:r w:rsidRPr="00AD1560">
        <w:t>Pillar 3: Workforce standards</w:t>
      </w:r>
    </w:p>
    <w:p w14:paraId="2083046A" w14:textId="77777777" w:rsidR="0052189C" w:rsidRPr="00AD1560" w:rsidRDefault="0052189C" w:rsidP="0052189C">
      <w:pPr>
        <w:pStyle w:val="VDWCbody"/>
        <w:rPr>
          <w:rStyle w:val="Strong"/>
        </w:rPr>
      </w:pPr>
      <w:r w:rsidRPr="00AD1560">
        <w:rPr>
          <w:rStyle w:val="Strong"/>
        </w:rPr>
        <w:t>Outcome by mid-2024:</w:t>
      </w:r>
    </w:p>
    <w:p w14:paraId="5D4D172B" w14:textId="77777777" w:rsidR="0052189C" w:rsidRPr="00AD1560" w:rsidRDefault="0052189C" w:rsidP="0052189C">
      <w:pPr>
        <w:pStyle w:val="VDWCbullet1"/>
      </w:pPr>
      <w:r w:rsidRPr="00AD1560">
        <w:t>Our standards for registration and training improve the knowledge and capability of the workforce.</w:t>
      </w:r>
    </w:p>
    <w:p w14:paraId="717EC374" w14:textId="77777777" w:rsidR="0052189C" w:rsidRPr="00AD1560" w:rsidRDefault="0052189C" w:rsidP="0052189C">
      <w:pPr>
        <w:pStyle w:val="VDWCbodyafterbullets"/>
        <w:rPr>
          <w:rStyle w:val="Strong"/>
        </w:rPr>
      </w:pPr>
      <w:r w:rsidRPr="00AD1560">
        <w:rPr>
          <w:rStyle w:val="Strong"/>
        </w:rPr>
        <w:t>Priorities for 2022 to 2024:</w:t>
      </w:r>
    </w:p>
    <w:p w14:paraId="271D3C7E" w14:textId="77777777" w:rsidR="0052189C" w:rsidRPr="00AD1560" w:rsidRDefault="0052189C" w:rsidP="0052189C">
      <w:pPr>
        <w:pStyle w:val="VDWCbullet1"/>
      </w:pPr>
      <w:r w:rsidRPr="00AD1560">
        <w:t xml:space="preserve">3.1 Develop a </w:t>
      </w:r>
      <w:r w:rsidRPr="00AD1560">
        <w:rPr>
          <w:b/>
          <w:bCs/>
        </w:rPr>
        <w:t>roadmap</w:t>
      </w:r>
      <w:r w:rsidRPr="00AD1560">
        <w:t xml:space="preserve"> to guide the development of guidelines, standards and accreditation.</w:t>
      </w:r>
    </w:p>
    <w:p w14:paraId="27A67149" w14:textId="77777777" w:rsidR="0052189C" w:rsidRPr="00AD1560" w:rsidRDefault="0052189C" w:rsidP="0052189C">
      <w:pPr>
        <w:pStyle w:val="VDWCbullet1"/>
      </w:pPr>
      <w:r w:rsidRPr="00AD1560">
        <w:t xml:space="preserve">3.2 Prioritise </w:t>
      </w:r>
      <w:r w:rsidRPr="00AD1560">
        <w:rPr>
          <w:b/>
          <w:bCs/>
        </w:rPr>
        <w:t>standards for registration</w:t>
      </w:r>
      <w:r w:rsidRPr="00AD1560">
        <w:t xml:space="preserve"> of disability support workers.</w:t>
      </w:r>
    </w:p>
    <w:p w14:paraId="3754CA3F" w14:textId="77777777" w:rsidR="0052189C" w:rsidRPr="00AD1560" w:rsidRDefault="0052189C" w:rsidP="0052189C">
      <w:pPr>
        <w:pStyle w:val="VDWCbullet1"/>
      </w:pPr>
      <w:r w:rsidRPr="00AD1560">
        <w:t xml:space="preserve">3.3 </w:t>
      </w:r>
      <w:r w:rsidRPr="00AD1560">
        <w:rPr>
          <w:b/>
          <w:bCs/>
        </w:rPr>
        <w:t>Collaborate</w:t>
      </w:r>
      <w:r w:rsidRPr="00AD1560">
        <w:t xml:space="preserve"> with organisations including employers who develop the workforce through curricula, qualifications and training.</w:t>
      </w:r>
    </w:p>
    <w:p w14:paraId="4ADFACBA" w14:textId="77777777" w:rsidR="0052189C" w:rsidRPr="00AD1560" w:rsidRDefault="0052189C" w:rsidP="0052189C">
      <w:pPr>
        <w:pStyle w:val="VDWCbullet1"/>
      </w:pPr>
      <w:r w:rsidRPr="00AD1560">
        <w:t xml:space="preserve">3.4 Strengthen the Commission’s </w:t>
      </w:r>
      <w:r w:rsidRPr="00AD1560">
        <w:rPr>
          <w:b/>
          <w:bCs/>
        </w:rPr>
        <w:t>capability, capacity and resources</w:t>
      </w:r>
      <w:r w:rsidRPr="00AD1560">
        <w:t xml:space="preserve"> to develop standards.</w:t>
      </w:r>
    </w:p>
    <w:p w14:paraId="01F22D3F" w14:textId="77777777" w:rsidR="0052189C" w:rsidRPr="00AD1560" w:rsidRDefault="0052189C" w:rsidP="0052189C">
      <w:pPr>
        <w:pStyle w:val="Heading4"/>
      </w:pPr>
      <w:r w:rsidRPr="00AD1560">
        <w:t>Pillar 4: Engagement and communication</w:t>
      </w:r>
    </w:p>
    <w:p w14:paraId="42BE7CEA" w14:textId="77777777" w:rsidR="0052189C" w:rsidRPr="00AD1560" w:rsidRDefault="0052189C" w:rsidP="0052189C">
      <w:pPr>
        <w:pStyle w:val="VDWCbody"/>
        <w:rPr>
          <w:rStyle w:val="Strong"/>
        </w:rPr>
      </w:pPr>
      <w:r w:rsidRPr="00AD1560">
        <w:rPr>
          <w:rStyle w:val="Strong"/>
        </w:rPr>
        <w:t>Outcome by mid-2024:</w:t>
      </w:r>
    </w:p>
    <w:p w14:paraId="20CAEB3D" w14:textId="77777777" w:rsidR="0052189C" w:rsidRPr="00AD1560" w:rsidRDefault="0052189C" w:rsidP="0052189C">
      <w:pPr>
        <w:pStyle w:val="VDWCbullet1"/>
      </w:pPr>
      <w:r w:rsidRPr="00AD1560">
        <w:t>People with disability, their families, advocates and service providers understand and have confidence in the Scheme and its processes.</w:t>
      </w:r>
    </w:p>
    <w:p w14:paraId="23AF3F8E" w14:textId="77777777" w:rsidR="0052189C" w:rsidRPr="00AD1560" w:rsidRDefault="0052189C" w:rsidP="0052189C">
      <w:pPr>
        <w:pStyle w:val="VDWCbodyafterbullets"/>
        <w:rPr>
          <w:rStyle w:val="Strong"/>
        </w:rPr>
      </w:pPr>
      <w:r w:rsidRPr="00AD1560">
        <w:rPr>
          <w:rStyle w:val="Strong"/>
        </w:rPr>
        <w:t>Priorities for 2022 to 2024:</w:t>
      </w:r>
    </w:p>
    <w:p w14:paraId="1525ED80" w14:textId="77777777" w:rsidR="0052189C" w:rsidRPr="00AD1560" w:rsidRDefault="0052189C" w:rsidP="0052189C">
      <w:pPr>
        <w:pStyle w:val="VDWCbullet1"/>
      </w:pPr>
      <w:r w:rsidRPr="00AD1560">
        <w:t xml:space="preserve">4.1 </w:t>
      </w:r>
      <w:r w:rsidRPr="00AD1560">
        <w:rPr>
          <w:b/>
          <w:bCs/>
        </w:rPr>
        <w:t>Work with other regulators and agencies</w:t>
      </w:r>
      <w:r w:rsidRPr="00AD1560">
        <w:t xml:space="preserve"> in Victoria and nationally to:</w:t>
      </w:r>
    </w:p>
    <w:p w14:paraId="6B1502D7" w14:textId="77777777" w:rsidR="0052189C" w:rsidRPr="00AD1560" w:rsidRDefault="0052189C" w:rsidP="0052189C">
      <w:pPr>
        <w:pStyle w:val="VDWCbullet2"/>
      </w:pPr>
      <w:r w:rsidRPr="00AD1560">
        <w:t>achieve quality and safety outcomes for people with disability</w:t>
      </w:r>
    </w:p>
    <w:p w14:paraId="201AECEA" w14:textId="77777777" w:rsidR="0052189C" w:rsidRPr="00AD1560" w:rsidRDefault="0052189C" w:rsidP="0052189C">
      <w:pPr>
        <w:pStyle w:val="VDWCbullet2"/>
      </w:pPr>
      <w:r w:rsidRPr="00AD1560">
        <w:t>avoid unnecessary duplication of effort.</w:t>
      </w:r>
    </w:p>
    <w:p w14:paraId="43FF9BC2" w14:textId="77777777" w:rsidR="0052189C" w:rsidRPr="00AD1560" w:rsidRDefault="0052189C" w:rsidP="0052189C">
      <w:pPr>
        <w:pStyle w:val="VDWCbullet1"/>
      </w:pPr>
      <w:r w:rsidRPr="00AD1560">
        <w:t xml:space="preserve">4.2 </w:t>
      </w:r>
      <w:r w:rsidRPr="00AD1560">
        <w:rPr>
          <w:b/>
          <w:bCs/>
        </w:rPr>
        <w:t>Build awareness</w:t>
      </w:r>
      <w:r w:rsidRPr="00AD1560">
        <w:t xml:space="preserve"> of the role of the Board and Commission.</w:t>
      </w:r>
    </w:p>
    <w:p w14:paraId="400737A5" w14:textId="77777777" w:rsidR="0052189C" w:rsidRPr="00AD1560" w:rsidRDefault="0052189C" w:rsidP="0052189C">
      <w:pPr>
        <w:pStyle w:val="VDWCbullet1"/>
      </w:pPr>
      <w:r w:rsidRPr="00AD1560">
        <w:t xml:space="preserve">4.3 Further </w:t>
      </w:r>
      <w:r w:rsidRPr="00AD1560">
        <w:rPr>
          <w:b/>
          <w:bCs/>
        </w:rPr>
        <w:t>strengthen our relationships</w:t>
      </w:r>
      <w:r w:rsidRPr="00AD1560">
        <w:t xml:space="preserve"> with the community, sector and our stakeholders.</w:t>
      </w:r>
    </w:p>
    <w:p w14:paraId="6FEE8A6F" w14:textId="77777777" w:rsidR="0052189C" w:rsidRPr="00AD1560" w:rsidRDefault="0052189C" w:rsidP="0052189C">
      <w:pPr>
        <w:pStyle w:val="VDWCbullet1"/>
      </w:pPr>
      <w:r w:rsidRPr="00AD1560">
        <w:t xml:space="preserve">4.4 Build our capability to </w:t>
      </w:r>
      <w:r w:rsidRPr="00AD1560">
        <w:rPr>
          <w:b/>
          <w:bCs/>
        </w:rPr>
        <w:t>engage and consult</w:t>
      </w:r>
      <w:r w:rsidRPr="00AD1560">
        <w:t>.</w:t>
      </w:r>
    </w:p>
    <w:p w14:paraId="2D41A7D5" w14:textId="77777777" w:rsidR="0052189C" w:rsidRPr="00AD1560" w:rsidRDefault="0052189C" w:rsidP="0052189C">
      <w:pPr>
        <w:pStyle w:val="VDWCbody"/>
        <w:rPr>
          <w:rFonts w:eastAsia="MS Mincho"/>
          <w:sz w:val="23"/>
        </w:rPr>
      </w:pPr>
      <w:r w:rsidRPr="00AD1560">
        <w:br w:type="page"/>
      </w:r>
    </w:p>
    <w:p w14:paraId="4AD0523F" w14:textId="77777777" w:rsidR="0052189C" w:rsidRPr="00AD1560" w:rsidRDefault="0052189C" w:rsidP="0052189C">
      <w:pPr>
        <w:pStyle w:val="Heading4"/>
      </w:pPr>
      <w:r w:rsidRPr="00AD1560">
        <w:lastRenderedPageBreak/>
        <w:t>Pillar 5: Enablers</w:t>
      </w:r>
    </w:p>
    <w:p w14:paraId="34F019BF" w14:textId="77777777" w:rsidR="0052189C" w:rsidRPr="00AD1560" w:rsidRDefault="0052189C" w:rsidP="0052189C">
      <w:pPr>
        <w:pStyle w:val="VDWCbody"/>
        <w:rPr>
          <w:rStyle w:val="Strong"/>
        </w:rPr>
      </w:pPr>
      <w:r w:rsidRPr="00AD1560">
        <w:rPr>
          <w:rStyle w:val="Strong"/>
        </w:rPr>
        <w:t>Outcome by mid-2024:</w:t>
      </w:r>
    </w:p>
    <w:p w14:paraId="7A188C93" w14:textId="77777777" w:rsidR="0052189C" w:rsidRPr="00AD1560" w:rsidRDefault="0052189C" w:rsidP="0052189C">
      <w:pPr>
        <w:pStyle w:val="VDWCbullet1"/>
      </w:pPr>
      <w:r w:rsidRPr="00AD1560">
        <w:t>The Board, Commissioner and Commission work collaboratively and are well supported to develop and operate the Scheme.</w:t>
      </w:r>
    </w:p>
    <w:p w14:paraId="1AD5DB97" w14:textId="77777777" w:rsidR="0052189C" w:rsidRPr="00AD1560" w:rsidRDefault="0052189C" w:rsidP="0052189C">
      <w:pPr>
        <w:pStyle w:val="VDWCbodyafterbullets"/>
        <w:rPr>
          <w:rStyle w:val="Strong"/>
        </w:rPr>
      </w:pPr>
      <w:r w:rsidRPr="00AD1560">
        <w:rPr>
          <w:rStyle w:val="Strong"/>
        </w:rPr>
        <w:t>Priorities for 2022 to 2024:</w:t>
      </w:r>
    </w:p>
    <w:p w14:paraId="1955F0D2" w14:textId="77777777" w:rsidR="0052189C" w:rsidRPr="00AD1560" w:rsidRDefault="0052189C" w:rsidP="0052189C">
      <w:pPr>
        <w:pStyle w:val="VDWCbullet1"/>
      </w:pPr>
      <w:r w:rsidRPr="00AD1560">
        <w:t>5.1 The Board, Commissioner and Commission have:</w:t>
      </w:r>
    </w:p>
    <w:p w14:paraId="11046E46" w14:textId="77777777" w:rsidR="0052189C" w:rsidRPr="00AD1560" w:rsidRDefault="0052189C" w:rsidP="0052189C">
      <w:pPr>
        <w:pStyle w:val="VDWCbullet2"/>
      </w:pPr>
      <w:r w:rsidRPr="00AD1560">
        <w:t xml:space="preserve">shared </w:t>
      </w:r>
      <w:r w:rsidRPr="00AD1560">
        <w:rPr>
          <w:b/>
          <w:bCs/>
        </w:rPr>
        <w:t>values and principles</w:t>
      </w:r>
    </w:p>
    <w:p w14:paraId="72073FEE" w14:textId="77777777" w:rsidR="0052189C" w:rsidRPr="00AD1560" w:rsidRDefault="0052189C" w:rsidP="0052189C">
      <w:pPr>
        <w:pStyle w:val="VDWCbullet2"/>
      </w:pPr>
      <w:r w:rsidRPr="00AD1560">
        <w:t xml:space="preserve">a complementary </w:t>
      </w:r>
      <w:r w:rsidRPr="00AD1560">
        <w:rPr>
          <w:b/>
          <w:bCs/>
        </w:rPr>
        <w:t>partnership</w:t>
      </w:r>
      <w:r w:rsidRPr="00AD1560">
        <w:t xml:space="preserve">, underpinned by a respectful empowering and learning </w:t>
      </w:r>
      <w:r w:rsidRPr="00AD1560">
        <w:rPr>
          <w:b/>
          <w:bCs/>
        </w:rPr>
        <w:t>culture</w:t>
      </w:r>
    </w:p>
    <w:p w14:paraId="1B2C78C3" w14:textId="77777777" w:rsidR="0052189C" w:rsidRPr="00AD1560" w:rsidRDefault="0052189C" w:rsidP="0052189C">
      <w:pPr>
        <w:pStyle w:val="VDWCbullet2"/>
      </w:pPr>
      <w:r w:rsidRPr="00AD1560">
        <w:rPr>
          <w:b/>
          <w:bCs/>
        </w:rPr>
        <w:t>high-performing</w:t>
      </w:r>
      <w:r w:rsidRPr="00AD1560">
        <w:t xml:space="preserve"> teams that draw on each other's strengths</w:t>
      </w:r>
    </w:p>
    <w:p w14:paraId="14218884" w14:textId="77777777" w:rsidR="0052189C" w:rsidRPr="00AD1560" w:rsidRDefault="0052189C" w:rsidP="0052189C">
      <w:pPr>
        <w:pStyle w:val="VDWCbullet2"/>
      </w:pPr>
      <w:r w:rsidRPr="00AD1560">
        <w:t xml:space="preserve">the necessary </w:t>
      </w:r>
      <w:r w:rsidRPr="00AD1560">
        <w:rPr>
          <w:b/>
          <w:bCs/>
        </w:rPr>
        <w:t>resources, capacity and capability</w:t>
      </w:r>
    </w:p>
    <w:p w14:paraId="657EE1DA" w14:textId="77777777" w:rsidR="0052189C" w:rsidRPr="00AD1560" w:rsidRDefault="0052189C" w:rsidP="0052189C">
      <w:pPr>
        <w:pStyle w:val="VDWCbullet2"/>
      </w:pPr>
      <w:r w:rsidRPr="00AD1560">
        <w:t xml:space="preserve">supporting </w:t>
      </w:r>
      <w:r w:rsidRPr="00AD1560">
        <w:rPr>
          <w:b/>
          <w:bCs/>
        </w:rPr>
        <w:t>technology</w:t>
      </w:r>
      <w:r w:rsidRPr="00AD1560">
        <w:t xml:space="preserve"> hardware systems and applications.</w:t>
      </w:r>
    </w:p>
    <w:p w14:paraId="4FAB6759" w14:textId="77777777" w:rsidR="0052189C" w:rsidRPr="00AD1560" w:rsidRDefault="0052189C" w:rsidP="0052189C">
      <w:pPr>
        <w:pStyle w:val="VDWCbullet1"/>
      </w:pPr>
      <w:r w:rsidRPr="00AD1560">
        <w:t xml:space="preserve">5.2 The Board, Commissioner and Commission collaboratively develop a </w:t>
      </w:r>
      <w:r w:rsidRPr="00AD1560">
        <w:rPr>
          <w:b/>
          <w:bCs/>
        </w:rPr>
        <w:t>regulatory approach</w:t>
      </w:r>
      <w:r w:rsidRPr="00AD1560">
        <w:t xml:space="preserve"> that, is evidence-informed, risk-based, responsive and balanced.</w:t>
      </w:r>
    </w:p>
    <w:p w14:paraId="7DA8A489" w14:textId="77777777" w:rsidR="0052189C" w:rsidRPr="00AD1560" w:rsidRDefault="0052189C" w:rsidP="0052189C">
      <w:pPr>
        <w:pStyle w:val="VDWCbullet1"/>
      </w:pPr>
      <w:r w:rsidRPr="00AD1560">
        <w:t xml:space="preserve">5.3 Progressively build an </w:t>
      </w:r>
      <w:r w:rsidRPr="00AD1560">
        <w:rPr>
          <w:b/>
          <w:bCs/>
        </w:rPr>
        <w:t>evidence-based understanding</w:t>
      </w:r>
      <w:r w:rsidRPr="00AD1560">
        <w:t xml:space="preserve"> of the Scheme's impact, strengths and shortcomings, and ways these may be addressed.</w:t>
      </w:r>
    </w:p>
    <w:p w14:paraId="2B5954E2" w14:textId="788F6A6F" w:rsidR="007061D5" w:rsidRPr="00AD1560" w:rsidRDefault="0027340F" w:rsidP="002956FB">
      <w:pPr>
        <w:pStyle w:val="VDWCbodyaftertablefigure"/>
      </w:pPr>
      <w:r w:rsidRPr="00AD1560">
        <w:t xml:space="preserve">Return to </w:t>
      </w:r>
      <w:r w:rsidR="00C04DCA" w:rsidRPr="00AD1560">
        <w:rPr>
          <w:b/>
          <w:bCs/>
        </w:rPr>
        <w:fldChar w:fldCharType="begin"/>
      </w:r>
      <w:r w:rsidR="00C04DCA" w:rsidRPr="00AD1560">
        <w:rPr>
          <w:b/>
          <w:bCs/>
        </w:rPr>
        <w:instrText xml:space="preserve"> REF _Ref115791478 \h  \* MERGEFORMAT </w:instrText>
      </w:r>
      <w:r w:rsidR="00C04DCA" w:rsidRPr="00AD1560">
        <w:rPr>
          <w:b/>
          <w:bCs/>
        </w:rPr>
      </w:r>
      <w:r w:rsidR="00C04DCA" w:rsidRPr="00AD1560">
        <w:rPr>
          <w:b/>
          <w:bCs/>
        </w:rPr>
        <w:fldChar w:fldCharType="separate"/>
      </w:r>
      <w:r w:rsidR="00C04DCA" w:rsidRPr="00AD1560">
        <w:rPr>
          <w:b/>
          <w:bCs/>
        </w:rPr>
        <w:t>Scheme strategic plan 2022 to 2024</w:t>
      </w:r>
      <w:r w:rsidR="00C04DCA" w:rsidRPr="00AD1560">
        <w:rPr>
          <w:b/>
          <w:bCs/>
        </w:rPr>
        <w:fldChar w:fldCharType="end"/>
      </w:r>
      <w:r w:rsidR="00C04DCA" w:rsidRPr="00AD1560">
        <w:t>.</w:t>
      </w:r>
    </w:p>
    <w:sectPr w:rsidR="007061D5" w:rsidRPr="00AD1560" w:rsidSect="00BA5E4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0D5C" w14:textId="77777777" w:rsidR="00DD4218" w:rsidRDefault="00DD4218">
      <w:r>
        <w:separator/>
      </w:r>
    </w:p>
  </w:endnote>
  <w:endnote w:type="continuationSeparator" w:id="0">
    <w:p w14:paraId="6D95E994" w14:textId="77777777" w:rsidR="00DD4218" w:rsidRDefault="00DD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E0EE" w14:textId="4B0A46F7" w:rsidR="00473F36" w:rsidRDefault="00473F36">
    <w:pPr>
      <w:pStyle w:val="Footer"/>
    </w:pPr>
    <w:r>
      <w:rPr>
        <w:noProof/>
      </w:rPr>
      <mc:AlternateContent>
        <mc:Choice Requires="wps">
          <w:drawing>
            <wp:anchor distT="0" distB="0" distL="114300" distR="114300" simplePos="0" relativeHeight="251661055" behindDoc="0" locked="0" layoutInCell="0" allowOverlap="1" wp14:anchorId="64513FF4" wp14:editId="4BAA9A83">
              <wp:simplePos x="0" y="0"/>
              <wp:positionH relativeFrom="page">
                <wp:align>center</wp:align>
              </wp:positionH>
              <wp:positionV relativeFrom="page">
                <wp:align>bottom</wp:align>
              </wp:positionV>
              <wp:extent cx="7772400" cy="502285"/>
              <wp:effectExtent l="0" t="0" r="0" b="12065"/>
              <wp:wrapNone/>
              <wp:docPr id="5" name="MSIPCM87e44a848590b3b1da5cf161"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F3605" w14:textId="3F1D790D"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513FF4" id="_x0000_t202" coordsize="21600,21600" o:spt="202" path="m,l,21600r21600,l21600,xe">
              <v:stroke joinstyle="miter"/>
              <v:path gradientshapeok="t" o:connecttype="rect"/>
            </v:shapetype>
            <v:shape id="MSIPCM87e44a848590b3b1da5cf161"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70EF3605" w14:textId="3F1D790D"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5908" w14:textId="48FF8E8C" w:rsidR="00473F36" w:rsidRDefault="00473F36">
    <w:pPr>
      <w:pStyle w:val="Footer"/>
    </w:pPr>
    <w:r>
      <w:rPr>
        <w:noProof/>
      </w:rPr>
      <mc:AlternateContent>
        <mc:Choice Requires="wps">
          <w:drawing>
            <wp:anchor distT="0" distB="0" distL="114300" distR="114300" simplePos="0" relativeHeight="251660799" behindDoc="0" locked="0" layoutInCell="0" allowOverlap="1" wp14:anchorId="0F0C7232" wp14:editId="69A5491B">
              <wp:simplePos x="0" y="0"/>
              <wp:positionH relativeFrom="page">
                <wp:align>center</wp:align>
              </wp:positionH>
              <wp:positionV relativeFrom="page">
                <wp:align>bottom</wp:align>
              </wp:positionV>
              <wp:extent cx="7772400" cy="502285"/>
              <wp:effectExtent l="0" t="0" r="0" b="12065"/>
              <wp:wrapNone/>
              <wp:docPr id="1" name="MSIPCM7c3141cea3309ee28dd70c9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C70AD" w14:textId="3B68E43A"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0C7232" id="_x0000_t202" coordsize="21600,21600" o:spt="202" path="m,l,21600r21600,l21600,xe">
              <v:stroke joinstyle="miter"/>
              <v:path gradientshapeok="t" o:connecttype="rect"/>
            </v:shapetype>
            <v:shape id="MSIPCM7c3141cea3309ee28dd70c9e"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771C70AD" w14:textId="3B68E43A"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48D9" w14:textId="77777777" w:rsidR="00DB73FF" w:rsidRDefault="00DB73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BF76" w14:textId="49805F52" w:rsidR="00F25D33" w:rsidRDefault="00473F36" w:rsidP="00F25D33">
    <w:pPr>
      <w:pStyle w:val="VDWCfooter"/>
    </w:pPr>
    <w:r>
      <w:rPr>
        <w:noProof/>
      </w:rPr>
      <mc:AlternateContent>
        <mc:Choice Requires="wps">
          <w:drawing>
            <wp:anchor distT="0" distB="0" distL="114300" distR="114300" simplePos="0" relativeHeight="251664384" behindDoc="0" locked="0" layoutInCell="0" allowOverlap="1" wp14:anchorId="5CD59E03" wp14:editId="041D06BF">
              <wp:simplePos x="0" y="0"/>
              <wp:positionH relativeFrom="page">
                <wp:align>center</wp:align>
              </wp:positionH>
              <wp:positionV relativeFrom="page">
                <wp:align>bottom</wp:align>
              </wp:positionV>
              <wp:extent cx="7772400" cy="502285"/>
              <wp:effectExtent l="0" t="0" r="0" b="12065"/>
              <wp:wrapNone/>
              <wp:docPr id="7" name="MSIPCMaa5949b0812e2c30f6b3ddb1"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23D6C" w14:textId="4B31039F"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D59E03" id="_x0000_t202" coordsize="21600,21600" o:spt="202" path="m,l,21600r21600,l21600,xe">
              <v:stroke joinstyle="miter"/>
              <v:path gradientshapeok="t" o:connecttype="rect"/>
            </v:shapetype>
            <v:shape id="MSIPCMaa5949b0812e2c30f6b3ddb1" o:spid="_x0000_s1028" type="#_x0000_t202" alt="{&quot;HashCode&quot;:904758361,&quot;Height&quot;:9999999.0,&quot;Width&quot;:9999999.0,&quot;Placement&quot;:&quot;Footer&quot;,&quot;Index&quot;:&quot;OddAndEven&quot;,&quot;Section&quot;:3,&quot;Top&quot;:0.0,&quot;Left&quot;:0.0}" style="position:absolute;margin-left:0;margin-top:0;width:612pt;height:39.5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7F23D6C" w14:textId="4B31039F"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v:textbox>
              <w10:wrap anchorx="page" anchory="page"/>
            </v:shape>
          </w:pict>
        </mc:Fallback>
      </mc:AlternateContent>
    </w:r>
    <w:r w:rsidR="00977C63">
      <w:t xml:space="preserve">Page </w:t>
    </w:r>
    <w:r w:rsidR="00977C63" w:rsidRPr="005A39EC">
      <w:fldChar w:fldCharType="begin"/>
    </w:r>
    <w:r w:rsidR="00977C63" w:rsidRPr="005A39EC">
      <w:instrText xml:space="preserve"> PAGE </w:instrText>
    </w:r>
    <w:r w:rsidR="00977C63" w:rsidRPr="005A39EC">
      <w:fldChar w:fldCharType="separate"/>
    </w:r>
    <w:r w:rsidR="005338EA">
      <w:rPr>
        <w:noProof/>
      </w:rPr>
      <w:t>10</w:t>
    </w:r>
    <w:r w:rsidR="00977C63" w:rsidRPr="005A39EC">
      <w:fldChar w:fldCharType="end"/>
    </w:r>
    <w:r w:rsidR="00277D12">
      <w:ptab w:relativeTo="margin" w:alignment="right" w:leader="none"/>
    </w:r>
    <w:r w:rsidR="00F25D33">
      <w:t>Victorian Disability Worker Commission and</w:t>
    </w:r>
    <w:r w:rsidR="007A014C">
      <w:t xml:space="preserve"> </w:t>
    </w:r>
    <w:r w:rsidR="00F25D33">
      <w:t>Disability Worker Registration Board of Victoria</w:t>
    </w:r>
  </w:p>
  <w:p w14:paraId="22E9D022" w14:textId="3956EAAB" w:rsidR="00977C63" w:rsidRPr="008114D1" w:rsidRDefault="00224953" w:rsidP="00F25D33">
    <w:pPr>
      <w:pStyle w:val="VDWCfooter"/>
      <w:jc w:val="right"/>
    </w:pPr>
    <w:r>
      <w:t>c</w:t>
    </w:r>
    <w:r w:rsidR="00805675">
      <w:t>orporate plan 2022</w:t>
    </w:r>
    <w:r>
      <w:t>–</w:t>
    </w:r>
    <w:r w:rsidR="00805675">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0739" w14:textId="5F3898A0" w:rsidR="00F25D33" w:rsidRDefault="00473F36" w:rsidP="00F25D33">
    <w:pPr>
      <w:pStyle w:val="VDWCfooter"/>
    </w:pPr>
    <w:r>
      <w:rPr>
        <w:noProof/>
      </w:rPr>
      <mc:AlternateContent>
        <mc:Choice Requires="wps">
          <w:drawing>
            <wp:anchor distT="0" distB="0" distL="114300" distR="114300" simplePos="0" relativeHeight="251663360" behindDoc="0" locked="0" layoutInCell="0" allowOverlap="1" wp14:anchorId="1944181B" wp14:editId="1735166C">
              <wp:simplePos x="0" y="0"/>
              <wp:positionH relativeFrom="page">
                <wp:align>center</wp:align>
              </wp:positionH>
              <wp:positionV relativeFrom="page">
                <wp:align>bottom</wp:align>
              </wp:positionV>
              <wp:extent cx="7772400" cy="502285"/>
              <wp:effectExtent l="0" t="0" r="0" b="12065"/>
              <wp:wrapNone/>
              <wp:docPr id="6" name="MSIPCM3408490fb03663ef3b210b6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A3047" w14:textId="48A27D01"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44181B" id="_x0000_t202" coordsize="21600,21600" o:spt="202" path="m,l,21600r21600,l21600,xe">
              <v:stroke joinstyle="miter"/>
              <v:path gradientshapeok="t" o:connecttype="rect"/>
            </v:shapetype>
            <v:shape id="MSIPCM3408490fb03663ef3b210b65" o:spid="_x0000_s1029" type="#_x0000_t202" alt="{&quot;HashCode&quot;:904758361,&quot;Height&quot;:9999999.0,&quot;Width&quot;:9999999.0,&quot;Placement&quot;:&quot;Footer&quot;,&quot;Index&quot;:&quot;Primary&quot;,&quot;Section&quot;:3,&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04BA3047" w14:textId="48A27D01" w:rsidR="00473F36" w:rsidRPr="00DB73FF" w:rsidRDefault="00DB73FF" w:rsidP="00DB73FF">
                    <w:pPr>
                      <w:jc w:val="center"/>
                      <w:rPr>
                        <w:rFonts w:ascii="Arial Black" w:hAnsi="Arial Black"/>
                        <w:color w:val="000000"/>
                      </w:rPr>
                    </w:pPr>
                    <w:r w:rsidRPr="00DB73FF">
                      <w:rPr>
                        <w:rFonts w:ascii="Arial Black" w:hAnsi="Arial Black"/>
                        <w:color w:val="000000"/>
                      </w:rPr>
                      <w:t>OFFICIAL</w:t>
                    </w:r>
                  </w:p>
                </w:txbxContent>
              </v:textbox>
              <w10:wrap anchorx="page" anchory="page"/>
            </v:shape>
          </w:pict>
        </mc:Fallback>
      </mc:AlternateContent>
    </w:r>
    <w:r w:rsidR="00F25D33">
      <w:t>Victorian Disability Worker Commission and Disability Worker Registration Board of Victoria</w:t>
    </w:r>
  </w:p>
  <w:p w14:paraId="495FF398" w14:textId="721BF551" w:rsidR="00977C63" w:rsidRPr="0031753A" w:rsidRDefault="00224953" w:rsidP="00F25D33">
    <w:pPr>
      <w:pStyle w:val="VDWCfooter"/>
    </w:pPr>
    <w:r>
      <w:t xml:space="preserve">corporate </w:t>
    </w:r>
    <w:r w:rsidR="0010302C">
      <w:t>plan</w:t>
    </w:r>
    <w:r>
      <w:t xml:space="preserve"> 2022–2024</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3E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E149" w14:textId="77777777" w:rsidR="00DD4218" w:rsidRDefault="00DD4218">
      <w:r>
        <w:separator/>
      </w:r>
    </w:p>
  </w:footnote>
  <w:footnote w:type="continuationSeparator" w:id="0">
    <w:p w14:paraId="0E058809" w14:textId="77777777" w:rsidR="00DD4218" w:rsidRDefault="00DD4218">
      <w:r>
        <w:continuationSeparator/>
      </w:r>
    </w:p>
  </w:footnote>
  <w:footnote w:id="1">
    <w:p w14:paraId="64F59CEE" w14:textId="3400C8ED" w:rsidR="005241C5" w:rsidRDefault="005241C5">
      <w:pPr>
        <w:pStyle w:val="FootnoteText"/>
      </w:pPr>
      <w:r>
        <w:rPr>
          <w:rStyle w:val="FootnoteReference"/>
        </w:rPr>
        <w:footnoteRef/>
      </w:r>
      <w:r>
        <w:t xml:space="preserve"> </w:t>
      </w:r>
      <w:r w:rsidRPr="005241C5">
        <w:t xml:space="preserve">Australian Bureau of Statistics 2018, </w:t>
      </w:r>
      <w:r w:rsidRPr="002956FB">
        <w:rPr>
          <w:i/>
          <w:iCs/>
        </w:rPr>
        <w:t>Disability, ageing and carers, Australia: summary of findings</w:t>
      </w:r>
      <w:r w:rsidRPr="005241C5">
        <w:t xml:space="preserve">, Australian Government, Canberra, cited in Department of Families, Fairness and Housing 2022, </w:t>
      </w:r>
      <w:r w:rsidRPr="002956FB">
        <w:rPr>
          <w:i/>
          <w:iCs/>
        </w:rPr>
        <w:t>Inclusive Victoria: state disability plan 2022–</w:t>
      </w:r>
      <w:r w:rsidR="00DF788C">
        <w:rPr>
          <w:i/>
          <w:iCs/>
        </w:rPr>
        <w:t>20</w:t>
      </w:r>
      <w:r w:rsidRPr="002956FB">
        <w:rPr>
          <w:i/>
          <w:iCs/>
        </w:rPr>
        <w:t>26</w:t>
      </w:r>
      <w:r w:rsidRPr="005241C5">
        <w:t>, State of Victoria, Melbourne, p 12.</w:t>
      </w:r>
    </w:p>
  </w:footnote>
  <w:footnote w:id="2">
    <w:p w14:paraId="31EED367" w14:textId="1D14E6B4" w:rsidR="005241C5" w:rsidRDefault="005241C5">
      <w:pPr>
        <w:pStyle w:val="FootnoteText"/>
      </w:pPr>
      <w:r>
        <w:rPr>
          <w:rStyle w:val="FootnoteReference"/>
        </w:rPr>
        <w:footnoteRef/>
      </w:r>
      <w:r>
        <w:t xml:space="preserve"> </w:t>
      </w:r>
      <w:r w:rsidRPr="005241C5">
        <w:t xml:space="preserve">Australian Institute of Health and Welfare 2020, </w:t>
      </w:r>
      <w:r w:rsidRPr="002956FB">
        <w:rPr>
          <w:i/>
          <w:iCs/>
        </w:rPr>
        <w:t>People with disability Australia</w:t>
      </w:r>
      <w:r w:rsidRPr="005241C5">
        <w:t>, Australian Government, Canberra.</w:t>
      </w:r>
    </w:p>
  </w:footnote>
  <w:footnote w:id="3">
    <w:p w14:paraId="20E92287" w14:textId="29150AEB" w:rsidR="005241C5" w:rsidRDefault="005241C5">
      <w:pPr>
        <w:pStyle w:val="FootnoteText"/>
      </w:pPr>
      <w:r>
        <w:rPr>
          <w:rStyle w:val="FootnoteReference"/>
        </w:rPr>
        <w:footnoteRef/>
      </w:r>
      <w:r>
        <w:t xml:space="preserve"> </w:t>
      </w:r>
      <w:r w:rsidRPr="005241C5">
        <w:t xml:space="preserve">Australian Bureau of Statistics 2018, </w:t>
      </w:r>
      <w:r w:rsidRPr="002956FB">
        <w:rPr>
          <w:i/>
          <w:iCs/>
        </w:rPr>
        <w:t>Disability, ageing and carers, Australia: summary of findings</w:t>
      </w:r>
      <w:r w:rsidRPr="005241C5">
        <w:t>, Australian Government, Canberra</w:t>
      </w:r>
    </w:p>
  </w:footnote>
  <w:footnote w:id="4">
    <w:p w14:paraId="0502EDFC" w14:textId="0E8DCB4A" w:rsidR="005241C5" w:rsidRDefault="005241C5">
      <w:pPr>
        <w:pStyle w:val="FootnoteText"/>
      </w:pPr>
      <w:r>
        <w:rPr>
          <w:rStyle w:val="FootnoteReference"/>
        </w:rPr>
        <w:footnoteRef/>
      </w:r>
      <w:r>
        <w:t xml:space="preserve"> </w:t>
      </w:r>
      <w:r w:rsidRPr="005241C5">
        <w:t xml:space="preserve">National Disability Services Victoria, </w:t>
      </w:r>
      <w:r w:rsidRPr="002956FB">
        <w:rPr>
          <w:i/>
          <w:iCs/>
        </w:rPr>
        <w:t xml:space="preserve">Victorian </w:t>
      </w:r>
      <w:r w:rsidR="00DF788C" w:rsidRPr="002956FB">
        <w:rPr>
          <w:i/>
          <w:iCs/>
        </w:rPr>
        <w:t xml:space="preserve">disability workforce environmental scan </w:t>
      </w:r>
      <w:r w:rsidRPr="002956FB">
        <w:rPr>
          <w:i/>
          <w:iCs/>
        </w:rPr>
        <w:t>for 2022</w:t>
      </w:r>
      <w:r w:rsidRPr="005241C5">
        <w:t>, February 2022,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5DED" w14:textId="77777777" w:rsidR="00DB73FF" w:rsidRDefault="00DB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77B5" w14:textId="77777777" w:rsidR="00DB73FF" w:rsidRDefault="00DB7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EADC" w14:textId="77777777" w:rsidR="00DB73FF" w:rsidRDefault="00DB7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E591" w14:textId="77777777" w:rsidR="00977C63" w:rsidRPr="0069374A" w:rsidRDefault="00977C63" w:rsidP="00E969B1">
    <w:pPr>
      <w:pStyle w:val="VDWC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7D86" w14:textId="77777777" w:rsidR="00977C63" w:rsidRDefault="00977C63" w:rsidP="00E969B1">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7118439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0A1E7498"/>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608E84DE"/>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990"/>
    <w:rsid w:val="000048AC"/>
    <w:rsid w:val="00014FC4"/>
    <w:rsid w:val="00020AAB"/>
    <w:rsid w:val="00022036"/>
    <w:rsid w:val="000223A4"/>
    <w:rsid w:val="00022E60"/>
    <w:rsid w:val="00026C19"/>
    <w:rsid w:val="00031263"/>
    <w:rsid w:val="00033618"/>
    <w:rsid w:val="00033A2A"/>
    <w:rsid w:val="00040D4D"/>
    <w:rsid w:val="00047E7F"/>
    <w:rsid w:val="000530C0"/>
    <w:rsid w:val="0005587D"/>
    <w:rsid w:val="00060E93"/>
    <w:rsid w:val="00064338"/>
    <w:rsid w:val="00064936"/>
    <w:rsid w:val="000734F8"/>
    <w:rsid w:val="000736B8"/>
    <w:rsid w:val="000817CB"/>
    <w:rsid w:val="000873EF"/>
    <w:rsid w:val="000A1282"/>
    <w:rsid w:val="000A5B6F"/>
    <w:rsid w:val="000A5C98"/>
    <w:rsid w:val="000B3792"/>
    <w:rsid w:val="000C449C"/>
    <w:rsid w:val="000C4D3B"/>
    <w:rsid w:val="000C6242"/>
    <w:rsid w:val="000C643F"/>
    <w:rsid w:val="000C66A7"/>
    <w:rsid w:val="000C68DB"/>
    <w:rsid w:val="000D0E83"/>
    <w:rsid w:val="000D2C32"/>
    <w:rsid w:val="000D6B9E"/>
    <w:rsid w:val="000E6F72"/>
    <w:rsid w:val="000F0478"/>
    <w:rsid w:val="000F0A50"/>
    <w:rsid w:val="0010302C"/>
    <w:rsid w:val="00103D5E"/>
    <w:rsid w:val="00104EA7"/>
    <w:rsid w:val="00105FAD"/>
    <w:rsid w:val="0010661E"/>
    <w:rsid w:val="00106731"/>
    <w:rsid w:val="0011155B"/>
    <w:rsid w:val="00111A6A"/>
    <w:rsid w:val="00117752"/>
    <w:rsid w:val="00121BF1"/>
    <w:rsid w:val="00127A8B"/>
    <w:rsid w:val="00134BE5"/>
    <w:rsid w:val="0013643C"/>
    <w:rsid w:val="001412D1"/>
    <w:rsid w:val="001423E3"/>
    <w:rsid w:val="001475EA"/>
    <w:rsid w:val="001504F5"/>
    <w:rsid w:val="0015051E"/>
    <w:rsid w:val="001517BD"/>
    <w:rsid w:val="0017248D"/>
    <w:rsid w:val="00173626"/>
    <w:rsid w:val="0017614A"/>
    <w:rsid w:val="0018177B"/>
    <w:rsid w:val="001817CD"/>
    <w:rsid w:val="0018235E"/>
    <w:rsid w:val="001834B7"/>
    <w:rsid w:val="0018768C"/>
    <w:rsid w:val="00192A5E"/>
    <w:rsid w:val="00192BA0"/>
    <w:rsid w:val="0019514D"/>
    <w:rsid w:val="00197303"/>
    <w:rsid w:val="001A17EA"/>
    <w:rsid w:val="001A1D17"/>
    <w:rsid w:val="001A22AA"/>
    <w:rsid w:val="001A7A18"/>
    <w:rsid w:val="001B1565"/>
    <w:rsid w:val="001B166D"/>
    <w:rsid w:val="001B28B5"/>
    <w:rsid w:val="001B2975"/>
    <w:rsid w:val="001C00C0"/>
    <w:rsid w:val="001C08A9"/>
    <w:rsid w:val="001C122D"/>
    <w:rsid w:val="001C241F"/>
    <w:rsid w:val="001D22C8"/>
    <w:rsid w:val="001D2A82"/>
    <w:rsid w:val="001D569B"/>
    <w:rsid w:val="001E0947"/>
    <w:rsid w:val="001E0EA3"/>
    <w:rsid w:val="001E3F3D"/>
    <w:rsid w:val="001E4995"/>
    <w:rsid w:val="001E7A42"/>
    <w:rsid w:val="001F09DC"/>
    <w:rsid w:val="001F43E6"/>
    <w:rsid w:val="00210D69"/>
    <w:rsid w:val="00213772"/>
    <w:rsid w:val="00215D68"/>
    <w:rsid w:val="0021723B"/>
    <w:rsid w:val="00220749"/>
    <w:rsid w:val="0022422C"/>
    <w:rsid w:val="00224953"/>
    <w:rsid w:val="0022724E"/>
    <w:rsid w:val="00230666"/>
    <w:rsid w:val="00231153"/>
    <w:rsid w:val="0023252E"/>
    <w:rsid w:val="00241C31"/>
    <w:rsid w:val="00256E7C"/>
    <w:rsid w:val="002679D5"/>
    <w:rsid w:val="002714FD"/>
    <w:rsid w:val="0027340F"/>
    <w:rsid w:val="00274BD3"/>
    <w:rsid w:val="00275F94"/>
    <w:rsid w:val="00277D12"/>
    <w:rsid w:val="00281B9C"/>
    <w:rsid w:val="00283536"/>
    <w:rsid w:val="00284C9B"/>
    <w:rsid w:val="002956FB"/>
    <w:rsid w:val="002A141B"/>
    <w:rsid w:val="002A26B6"/>
    <w:rsid w:val="002A6A4E"/>
    <w:rsid w:val="002B5A85"/>
    <w:rsid w:val="002B63A7"/>
    <w:rsid w:val="002C5543"/>
    <w:rsid w:val="002D0F7F"/>
    <w:rsid w:val="002D2678"/>
    <w:rsid w:val="002D270A"/>
    <w:rsid w:val="002E0198"/>
    <w:rsid w:val="002E1D7C"/>
    <w:rsid w:val="002F449B"/>
    <w:rsid w:val="002F4D86"/>
    <w:rsid w:val="002F5D69"/>
    <w:rsid w:val="002F7C77"/>
    <w:rsid w:val="00300CB3"/>
    <w:rsid w:val="0030394B"/>
    <w:rsid w:val="0030638F"/>
    <w:rsid w:val="003072C6"/>
    <w:rsid w:val="00310D8E"/>
    <w:rsid w:val="00315BBD"/>
    <w:rsid w:val="0031753A"/>
    <w:rsid w:val="00320293"/>
    <w:rsid w:val="00322CC2"/>
    <w:rsid w:val="003271DC"/>
    <w:rsid w:val="00332FA0"/>
    <w:rsid w:val="00334B54"/>
    <w:rsid w:val="0033739E"/>
    <w:rsid w:val="00343733"/>
    <w:rsid w:val="003527E7"/>
    <w:rsid w:val="00355886"/>
    <w:rsid w:val="00356814"/>
    <w:rsid w:val="00357EBD"/>
    <w:rsid w:val="003741AD"/>
    <w:rsid w:val="0038019F"/>
    <w:rsid w:val="00382071"/>
    <w:rsid w:val="003A2F25"/>
    <w:rsid w:val="003A335A"/>
    <w:rsid w:val="003B2807"/>
    <w:rsid w:val="003C0540"/>
    <w:rsid w:val="003C1A21"/>
    <w:rsid w:val="003C68F2"/>
    <w:rsid w:val="003C6FE5"/>
    <w:rsid w:val="003D58B8"/>
    <w:rsid w:val="003D5CFB"/>
    <w:rsid w:val="003E2636"/>
    <w:rsid w:val="003E2E12"/>
    <w:rsid w:val="003F39CE"/>
    <w:rsid w:val="003F5076"/>
    <w:rsid w:val="00401108"/>
    <w:rsid w:val="00402927"/>
    <w:rsid w:val="00407993"/>
    <w:rsid w:val="00410AFD"/>
    <w:rsid w:val="00411833"/>
    <w:rsid w:val="00412F64"/>
    <w:rsid w:val="00417BEB"/>
    <w:rsid w:val="00417CC6"/>
    <w:rsid w:val="00422902"/>
    <w:rsid w:val="00422AF9"/>
    <w:rsid w:val="004324FF"/>
    <w:rsid w:val="00432A55"/>
    <w:rsid w:val="004372B7"/>
    <w:rsid w:val="0044260A"/>
    <w:rsid w:val="00444D82"/>
    <w:rsid w:val="004564C6"/>
    <w:rsid w:val="004610CC"/>
    <w:rsid w:val="00465464"/>
    <w:rsid w:val="00465E87"/>
    <w:rsid w:val="00473F36"/>
    <w:rsid w:val="0047786A"/>
    <w:rsid w:val="00477A65"/>
    <w:rsid w:val="0048140C"/>
    <w:rsid w:val="00482DB3"/>
    <w:rsid w:val="004915C1"/>
    <w:rsid w:val="004948CA"/>
    <w:rsid w:val="004A0236"/>
    <w:rsid w:val="004A369A"/>
    <w:rsid w:val="004A3B3E"/>
    <w:rsid w:val="004B18DF"/>
    <w:rsid w:val="004C5777"/>
    <w:rsid w:val="004D0173"/>
    <w:rsid w:val="004D1056"/>
    <w:rsid w:val="004D2B7B"/>
    <w:rsid w:val="004D3461"/>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189C"/>
    <w:rsid w:val="005241C5"/>
    <w:rsid w:val="00524310"/>
    <w:rsid w:val="00525456"/>
    <w:rsid w:val="00530452"/>
    <w:rsid w:val="00532236"/>
    <w:rsid w:val="005338EA"/>
    <w:rsid w:val="00537524"/>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DFD"/>
    <w:rsid w:val="005A3051"/>
    <w:rsid w:val="005A53FE"/>
    <w:rsid w:val="005B2BE9"/>
    <w:rsid w:val="005B3064"/>
    <w:rsid w:val="005B7D22"/>
    <w:rsid w:val="005C029E"/>
    <w:rsid w:val="005C0CF8"/>
    <w:rsid w:val="005D6766"/>
    <w:rsid w:val="005E085D"/>
    <w:rsid w:val="005E19F8"/>
    <w:rsid w:val="005E3FA7"/>
    <w:rsid w:val="005E7963"/>
    <w:rsid w:val="005F218C"/>
    <w:rsid w:val="005F4523"/>
    <w:rsid w:val="00601D4D"/>
    <w:rsid w:val="006021B4"/>
    <w:rsid w:val="00605B5B"/>
    <w:rsid w:val="006062D8"/>
    <w:rsid w:val="00606827"/>
    <w:rsid w:val="00606C23"/>
    <w:rsid w:val="00620262"/>
    <w:rsid w:val="00621B4C"/>
    <w:rsid w:val="00627C52"/>
    <w:rsid w:val="00627D04"/>
    <w:rsid w:val="00630937"/>
    <w:rsid w:val="00653B84"/>
    <w:rsid w:val="00653E0D"/>
    <w:rsid w:val="00654345"/>
    <w:rsid w:val="006865C8"/>
    <w:rsid w:val="00686B48"/>
    <w:rsid w:val="00687038"/>
    <w:rsid w:val="0068714E"/>
    <w:rsid w:val="006872F5"/>
    <w:rsid w:val="006929F7"/>
    <w:rsid w:val="0069374A"/>
    <w:rsid w:val="00694AB8"/>
    <w:rsid w:val="00695EF7"/>
    <w:rsid w:val="0069699D"/>
    <w:rsid w:val="006B2C51"/>
    <w:rsid w:val="006B6361"/>
    <w:rsid w:val="006C3D36"/>
    <w:rsid w:val="006D24CE"/>
    <w:rsid w:val="006D360C"/>
    <w:rsid w:val="006D5259"/>
    <w:rsid w:val="006D5AC9"/>
    <w:rsid w:val="006D66ED"/>
    <w:rsid w:val="006D6EC1"/>
    <w:rsid w:val="006D71E7"/>
    <w:rsid w:val="006E786B"/>
    <w:rsid w:val="006F034C"/>
    <w:rsid w:val="006F3E0E"/>
    <w:rsid w:val="007002B1"/>
    <w:rsid w:val="007020B2"/>
    <w:rsid w:val="00702704"/>
    <w:rsid w:val="007028A1"/>
    <w:rsid w:val="00704EB7"/>
    <w:rsid w:val="00705742"/>
    <w:rsid w:val="007061D5"/>
    <w:rsid w:val="007104FE"/>
    <w:rsid w:val="00711B0C"/>
    <w:rsid w:val="007121A2"/>
    <w:rsid w:val="00713981"/>
    <w:rsid w:val="007176D6"/>
    <w:rsid w:val="00727D54"/>
    <w:rsid w:val="00731A8A"/>
    <w:rsid w:val="00731EF2"/>
    <w:rsid w:val="007344C5"/>
    <w:rsid w:val="00734959"/>
    <w:rsid w:val="00735137"/>
    <w:rsid w:val="0073520D"/>
    <w:rsid w:val="007601BE"/>
    <w:rsid w:val="00780226"/>
    <w:rsid w:val="00781AB4"/>
    <w:rsid w:val="007923B7"/>
    <w:rsid w:val="00792616"/>
    <w:rsid w:val="007926BB"/>
    <w:rsid w:val="0079344C"/>
    <w:rsid w:val="007968AE"/>
    <w:rsid w:val="007A014C"/>
    <w:rsid w:val="007A0283"/>
    <w:rsid w:val="007C02C7"/>
    <w:rsid w:val="007C21EE"/>
    <w:rsid w:val="007D3A2E"/>
    <w:rsid w:val="007D6652"/>
    <w:rsid w:val="007E343D"/>
    <w:rsid w:val="007F168A"/>
    <w:rsid w:val="007F4383"/>
    <w:rsid w:val="007F5858"/>
    <w:rsid w:val="007F6862"/>
    <w:rsid w:val="00801601"/>
    <w:rsid w:val="0080169A"/>
    <w:rsid w:val="008036A7"/>
    <w:rsid w:val="00805675"/>
    <w:rsid w:val="00810991"/>
    <w:rsid w:val="00814A9B"/>
    <w:rsid w:val="00814F66"/>
    <w:rsid w:val="00817C9E"/>
    <w:rsid w:val="008205AF"/>
    <w:rsid w:val="008225E5"/>
    <w:rsid w:val="008262A2"/>
    <w:rsid w:val="00831053"/>
    <w:rsid w:val="008314D2"/>
    <w:rsid w:val="0083254D"/>
    <w:rsid w:val="00836249"/>
    <w:rsid w:val="00836F00"/>
    <w:rsid w:val="00846192"/>
    <w:rsid w:val="00847D6B"/>
    <w:rsid w:val="00850806"/>
    <w:rsid w:val="00856A1B"/>
    <w:rsid w:val="008621C3"/>
    <w:rsid w:val="00865486"/>
    <w:rsid w:val="008669BE"/>
    <w:rsid w:val="00876275"/>
    <w:rsid w:val="0088086A"/>
    <w:rsid w:val="00882B99"/>
    <w:rsid w:val="00886121"/>
    <w:rsid w:val="008A2738"/>
    <w:rsid w:val="008A295B"/>
    <w:rsid w:val="008A5B97"/>
    <w:rsid w:val="008A6604"/>
    <w:rsid w:val="008B1C73"/>
    <w:rsid w:val="008B5482"/>
    <w:rsid w:val="008B699A"/>
    <w:rsid w:val="008B788A"/>
    <w:rsid w:val="008C11F4"/>
    <w:rsid w:val="008C2BEC"/>
    <w:rsid w:val="008C6523"/>
    <w:rsid w:val="008C6D0E"/>
    <w:rsid w:val="008D09D2"/>
    <w:rsid w:val="008D0DCE"/>
    <w:rsid w:val="008D39C5"/>
    <w:rsid w:val="008E1D89"/>
    <w:rsid w:val="008E2DE1"/>
    <w:rsid w:val="008E3D6C"/>
    <w:rsid w:val="008E3E3E"/>
    <w:rsid w:val="008F5F87"/>
    <w:rsid w:val="00900A34"/>
    <w:rsid w:val="009031FF"/>
    <w:rsid w:val="00906132"/>
    <w:rsid w:val="00907073"/>
    <w:rsid w:val="009101E1"/>
    <w:rsid w:val="009208F5"/>
    <w:rsid w:val="00927D51"/>
    <w:rsid w:val="00932272"/>
    <w:rsid w:val="00932862"/>
    <w:rsid w:val="009334F1"/>
    <w:rsid w:val="00935D60"/>
    <w:rsid w:val="009447BB"/>
    <w:rsid w:val="00944C48"/>
    <w:rsid w:val="00946335"/>
    <w:rsid w:val="009513C4"/>
    <w:rsid w:val="00955E55"/>
    <w:rsid w:val="00960352"/>
    <w:rsid w:val="00962200"/>
    <w:rsid w:val="00966F54"/>
    <w:rsid w:val="00975E61"/>
    <w:rsid w:val="00976E31"/>
    <w:rsid w:val="00977C63"/>
    <w:rsid w:val="00980087"/>
    <w:rsid w:val="00980C0B"/>
    <w:rsid w:val="0098524F"/>
    <w:rsid w:val="00986A72"/>
    <w:rsid w:val="00987ABE"/>
    <w:rsid w:val="009906C7"/>
    <w:rsid w:val="00990DEF"/>
    <w:rsid w:val="009963CD"/>
    <w:rsid w:val="009A2530"/>
    <w:rsid w:val="009A632B"/>
    <w:rsid w:val="009B266D"/>
    <w:rsid w:val="009B5CBF"/>
    <w:rsid w:val="009C10A5"/>
    <w:rsid w:val="009C184A"/>
    <w:rsid w:val="009C22A3"/>
    <w:rsid w:val="009C2CA5"/>
    <w:rsid w:val="009D3E45"/>
    <w:rsid w:val="009D4AA8"/>
    <w:rsid w:val="009E4235"/>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6474"/>
    <w:rsid w:val="00A9783D"/>
    <w:rsid w:val="00AA45E6"/>
    <w:rsid w:val="00AA5A37"/>
    <w:rsid w:val="00AA7A88"/>
    <w:rsid w:val="00AB489C"/>
    <w:rsid w:val="00AB50C1"/>
    <w:rsid w:val="00AB6936"/>
    <w:rsid w:val="00AC0C3B"/>
    <w:rsid w:val="00AC2D63"/>
    <w:rsid w:val="00AD03D8"/>
    <w:rsid w:val="00AD0711"/>
    <w:rsid w:val="00AD1560"/>
    <w:rsid w:val="00AD704E"/>
    <w:rsid w:val="00AE16E2"/>
    <w:rsid w:val="00AE5FE0"/>
    <w:rsid w:val="00AE60B7"/>
    <w:rsid w:val="00AF2AB7"/>
    <w:rsid w:val="00AF2B1C"/>
    <w:rsid w:val="00AF4D3F"/>
    <w:rsid w:val="00B0300B"/>
    <w:rsid w:val="00B05457"/>
    <w:rsid w:val="00B057F5"/>
    <w:rsid w:val="00B126CB"/>
    <w:rsid w:val="00B128A0"/>
    <w:rsid w:val="00B20240"/>
    <w:rsid w:val="00B22C3E"/>
    <w:rsid w:val="00B23281"/>
    <w:rsid w:val="00B27571"/>
    <w:rsid w:val="00B344FB"/>
    <w:rsid w:val="00B4164B"/>
    <w:rsid w:val="00B5409A"/>
    <w:rsid w:val="00B55574"/>
    <w:rsid w:val="00B6525D"/>
    <w:rsid w:val="00B65ABA"/>
    <w:rsid w:val="00B67097"/>
    <w:rsid w:val="00B6790F"/>
    <w:rsid w:val="00B7021C"/>
    <w:rsid w:val="00B71B3B"/>
    <w:rsid w:val="00B853DB"/>
    <w:rsid w:val="00B87D61"/>
    <w:rsid w:val="00B93948"/>
    <w:rsid w:val="00B97A75"/>
    <w:rsid w:val="00BA4BC7"/>
    <w:rsid w:val="00BA55B7"/>
    <w:rsid w:val="00BA5E47"/>
    <w:rsid w:val="00BA7D57"/>
    <w:rsid w:val="00BB156E"/>
    <w:rsid w:val="00BB3330"/>
    <w:rsid w:val="00BB47D7"/>
    <w:rsid w:val="00BB4A62"/>
    <w:rsid w:val="00BC01C1"/>
    <w:rsid w:val="00BC45A1"/>
    <w:rsid w:val="00BC5A34"/>
    <w:rsid w:val="00BD17F5"/>
    <w:rsid w:val="00BD4972"/>
    <w:rsid w:val="00BD6E05"/>
    <w:rsid w:val="00BE54D0"/>
    <w:rsid w:val="00BF6B6C"/>
    <w:rsid w:val="00BF7251"/>
    <w:rsid w:val="00BF7F28"/>
    <w:rsid w:val="00C01909"/>
    <w:rsid w:val="00C04DCA"/>
    <w:rsid w:val="00C05787"/>
    <w:rsid w:val="00C116F9"/>
    <w:rsid w:val="00C11871"/>
    <w:rsid w:val="00C13059"/>
    <w:rsid w:val="00C156D4"/>
    <w:rsid w:val="00C167A3"/>
    <w:rsid w:val="00C2181C"/>
    <w:rsid w:val="00C2657D"/>
    <w:rsid w:val="00C26A87"/>
    <w:rsid w:val="00C3745D"/>
    <w:rsid w:val="00C416E1"/>
    <w:rsid w:val="00C47BF8"/>
    <w:rsid w:val="00C51807"/>
    <w:rsid w:val="00C51B1C"/>
    <w:rsid w:val="00C53DCE"/>
    <w:rsid w:val="00C655F2"/>
    <w:rsid w:val="00C65B4C"/>
    <w:rsid w:val="00C65B61"/>
    <w:rsid w:val="00C70E53"/>
    <w:rsid w:val="00C72979"/>
    <w:rsid w:val="00C74A65"/>
    <w:rsid w:val="00C804B0"/>
    <w:rsid w:val="00C81529"/>
    <w:rsid w:val="00C81BA6"/>
    <w:rsid w:val="00C8377C"/>
    <w:rsid w:val="00C877CD"/>
    <w:rsid w:val="00C902E9"/>
    <w:rsid w:val="00C908B7"/>
    <w:rsid w:val="00C91D81"/>
    <w:rsid w:val="00C92A42"/>
    <w:rsid w:val="00CA0BBB"/>
    <w:rsid w:val="00CA0D0E"/>
    <w:rsid w:val="00CA18F2"/>
    <w:rsid w:val="00CA4871"/>
    <w:rsid w:val="00CA6722"/>
    <w:rsid w:val="00CA6D4E"/>
    <w:rsid w:val="00CA7B4B"/>
    <w:rsid w:val="00CB36A8"/>
    <w:rsid w:val="00CB4FC7"/>
    <w:rsid w:val="00CC139A"/>
    <w:rsid w:val="00CC1E7A"/>
    <w:rsid w:val="00CC2258"/>
    <w:rsid w:val="00CC4F64"/>
    <w:rsid w:val="00CD058C"/>
    <w:rsid w:val="00CD3B98"/>
    <w:rsid w:val="00CD4216"/>
    <w:rsid w:val="00CD518C"/>
    <w:rsid w:val="00CD733F"/>
    <w:rsid w:val="00CD7C65"/>
    <w:rsid w:val="00CE0942"/>
    <w:rsid w:val="00CE7CA5"/>
    <w:rsid w:val="00CF1D81"/>
    <w:rsid w:val="00CF2DC9"/>
    <w:rsid w:val="00CF37E9"/>
    <w:rsid w:val="00CF7CB6"/>
    <w:rsid w:val="00D140E5"/>
    <w:rsid w:val="00D15447"/>
    <w:rsid w:val="00D15E48"/>
    <w:rsid w:val="00D311AB"/>
    <w:rsid w:val="00D32290"/>
    <w:rsid w:val="00D325A8"/>
    <w:rsid w:val="00D442AD"/>
    <w:rsid w:val="00D5618A"/>
    <w:rsid w:val="00D5784B"/>
    <w:rsid w:val="00D63EFB"/>
    <w:rsid w:val="00D658AF"/>
    <w:rsid w:val="00D70A79"/>
    <w:rsid w:val="00D83DE9"/>
    <w:rsid w:val="00D8450D"/>
    <w:rsid w:val="00D95AF9"/>
    <w:rsid w:val="00DA09C9"/>
    <w:rsid w:val="00DA1822"/>
    <w:rsid w:val="00DA36A6"/>
    <w:rsid w:val="00DA46E5"/>
    <w:rsid w:val="00DB2F2B"/>
    <w:rsid w:val="00DB5E1F"/>
    <w:rsid w:val="00DB5FA4"/>
    <w:rsid w:val="00DB6F95"/>
    <w:rsid w:val="00DB73FF"/>
    <w:rsid w:val="00DC19D8"/>
    <w:rsid w:val="00DC2613"/>
    <w:rsid w:val="00DC4512"/>
    <w:rsid w:val="00DD3691"/>
    <w:rsid w:val="00DD4218"/>
    <w:rsid w:val="00DD4B55"/>
    <w:rsid w:val="00DE1E90"/>
    <w:rsid w:val="00DE24E6"/>
    <w:rsid w:val="00DE5387"/>
    <w:rsid w:val="00DE5C8A"/>
    <w:rsid w:val="00DE7B07"/>
    <w:rsid w:val="00DF07AD"/>
    <w:rsid w:val="00DF3364"/>
    <w:rsid w:val="00DF702A"/>
    <w:rsid w:val="00DF788C"/>
    <w:rsid w:val="00DF7DC9"/>
    <w:rsid w:val="00E055BB"/>
    <w:rsid w:val="00E11988"/>
    <w:rsid w:val="00E15DA9"/>
    <w:rsid w:val="00E2095D"/>
    <w:rsid w:val="00E30414"/>
    <w:rsid w:val="00E31FFC"/>
    <w:rsid w:val="00E40769"/>
    <w:rsid w:val="00E42E8B"/>
    <w:rsid w:val="00E534A7"/>
    <w:rsid w:val="00E60F12"/>
    <w:rsid w:val="00E645ED"/>
    <w:rsid w:val="00E652FB"/>
    <w:rsid w:val="00E66C20"/>
    <w:rsid w:val="00E70204"/>
    <w:rsid w:val="00E71C46"/>
    <w:rsid w:val="00E731B7"/>
    <w:rsid w:val="00E75ED2"/>
    <w:rsid w:val="00E8280C"/>
    <w:rsid w:val="00E83E4C"/>
    <w:rsid w:val="00E91933"/>
    <w:rsid w:val="00E92A81"/>
    <w:rsid w:val="00E9502E"/>
    <w:rsid w:val="00E969B1"/>
    <w:rsid w:val="00E97FFE"/>
    <w:rsid w:val="00EA44EB"/>
    <w:rsid w:val="00EB6552"/>
    <w:rsid w:val="00EC18E6"/>
    <w:rsid w:val="00EC1984"/>
    <w:rsid w:val="00EC1DD4"/>
    <w:rsid w:val="00EC234C"/>
    <w:rsid w:val="00ED3529"/>
    <w:rsid w:val="00ED4D17"/>
    <w:rsid w:val="00EE6CD3"/>
    <w:rsid w:val="00EF20D7"/>
    <w:rsid w:val="00EF2FA2"/>
    <w:rsid w:val="00EF3419"/>
    <w:rsid w:val="00F0119C"/>
    <w:rsid w:val="00F02840"/>
    <w:rsid w:val="00F02BDB"/>
    <w:rsid w:val="00F0441B"/>
    <w:rsid w:val="00F07623"/>
    <w:rsid w:val="00F07D0B"/>
    <w:rsid w:val="00F126F2"/>
    <w:rsid w:val="00F2073E"/>
    <w:rsid w:val="00F25D33"/>
    <w:rsid w:val="00F2667B"/>
    <w:rsid w:val="00F278E9"/>
    <w:rsid w:val="00F3136B"/>
    <w:rsid w:val="00F314F1"/>
    <w:rsid w:val="00F327EA"/>
    <w:rsid w:val="00F33641"/>
    <w:rsid w:val="00F42842"/>
    <w:rsid w:val="00F43EE0"/>
    <w:rsid w:val="00F46E40"/>
    <w:rsid w:val="00F4760A"/>
    <w:rsid w:val="00F529FE"/>
    <w:rsid w:val="00F52B8E"/>
    <w:rsid w:val="00F53CFD"/>
    <w:rsid w:val="00F54AF5"/>
    <w:rsid w:val="00F557E3"/>
    <w:rsid w:val="00F604CA"/>
    <w:rsid w:val="00F61E78"/>
    <w:rsid w:val="00F635C5"/>
    <w:rsid w:val="00F64347"/>
    <w:rsid w:val="00F73644"/>
    <w:rsid w:val="00F736E3"/>
    <w:rsid w:val="00F767E8"/>
    <w:rsid w:val="00F82E4B"/>
    <w:rsid w:val="00F86010"/>
    <w:rsid w:val="00F86A3F"/>
    <w:rsid w:val="00F91297"/>
    <w:rsid w:val="00F9133B"/>
    <w:rsid w:val="00F97730"/>
    <w:rsid w:val="00FB32A4"/>
    <w:rsid w:val="00FB4B1F"/>
    <w:rsid w:val="00FB594D"/>
    <w:rsid w:val="00FC49BB"/>
    <w:rsid w:val="00FD616B"/>
    <w:rsid w:val="00FE367F"/>
    <w:rsid w:val="00FF29DC"/>
    <w:rsid w:val="00FF3825"/>
    <w:rsid w:val="00FF64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02DC4"/>
  <w15:docId w15:val="{3C74BC5E-4992-8F45-9DC9-733AE646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DD4"/>
    <w:rPr>
      <w:rFonts w:ascii="Cambria" w:hAnsi="Cambria"/>
      <w:lang w:eastAsia="en-US"/>
    </w:rPr>
  </w:style>
  <w:style w:type="paragraph" w:styleId="Heading1">
    <w:name w:val="heading 1"/>
    <w:next w:val="VDWCbody"/>
    <w:link w:val="Heading1Char"/>
    <w:uiPriority w:val="1"/>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DF788C"/>
    <w:pPr>
      <w:keepNext/>
      <w:keepLines/>
      <w:spacing w:before="240" w:after="120" w:line="260" w:lineRule="atLeast"/>
      <w:outlineLvl w:val="3"/>
    </w:pPr>
    <w:rPr>
      <w:rFonts w:ascii="Arial" w:eastAsia="MS Mincho" w:hAnsi="Arial"/>
      <w:b/>
      <w:bCs/>
      <w:sz w:val="23"/>
      <w:lang w:eastAsia="en-US"/>
    </w:rPr>
  </w:style>
  <w:style w:type="paragraph" w:styleId="Heading5">
    <w:name w:val="heading 5"/>
    <w:next w:val="VDWC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DF788C"/>
    <w:rPr>
      <w:rFonts w:ascii="Arial" w:eastAsia="MS Mincho" w:hAnsi="Arial"/>
      <w:b/>
      <w:bCs/>
      <w:sz w:val="23"/>
      <w:lang w:eastAsia="en-US"/>
    </w:rPr>
  </w:style>
  <w:style w:type="paragraph" w:styleId="Header">
    <w:name w:val="header"/>
    <w:basedOn w:val="VDWCheader"/>
    <w:uiPriority w:val="98"/>
    <w:rsid w:val="004E380D"/>
  </w:style>
  <w:style w:type="paragraph" w:styleId="Footer">
    <w:name w:val="footer"/>
    <w:basedOn w:val="VDWCfooter"/>
    <w:uiPriority w:val="9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uiPriority w:val="39"/>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DB6F95"/>
    <w:pPr>
      <w:spacing w:after="120" w:line="270" w:lineRule="atLeast"/>
    </w:pPr>
    <w:rPr>
      <w:rFonts w:ascii="Arial" w:eastAsia="Times" w:hAnsi="Arial"/>
      <w:sz w:val="22"/>
      <w:lang w:eastAsia="en-US"/>
    </w:rPr>
  </w:style>
  <w:style w:type="paragraph" w:customStyle="1" w:styleId="VDWCbullet1">
    <w:name w:val="VDWC bullet 1"/>
    <w:basedOn w:val="VDWCbody"/>
    <w:qFormat/>
    <w:rsid w:val="00F126F2"/>
    <w:pPr>
      <w:numPr>
        <w:numId w:val="2"/>
      </w:numPr>
      <w:spacing w:after="40"/>
    </w:pPr>
  </w:style>
  <w:style w:type="paragraph" w:customStyle="1" w:styleId="VDWCnumberloweralpha">
    <w:name w:val="VDWC number lower alpha"/>
    <w:basedOn w:val="VDWCbody"/>
    <w:uiPriority w:val="3"/>
    <w:rsid w:val="00F126F2"/>
    <w:pPr>
      <w:numPr>
        <w:numId w:val="20"/>
      </w:numPr>
    </w:pPr>
  </w:style>
  <w:style w:type="paragraph" w:customStyle="1" w:styleId="VDWCnumberloweralphaindent">
    <w:name w:val="VDWC number lower alpha indent"/>
    <w:basedOn w:val="VDWCbody"/>
    <w:uiPriority w:val="3"/>
    <w:rsid w:val="00F126F2"/>
    <w:pPr>
      <w:numPr>
        <w:ilvl w:val="1"/>
        <w:numId w:val="20"/>
      </w:numPr>
    </w:pPr>
  </w:style>
  <w:style w:type="paragraph" w:customStyle="1" w:styleId="VDWCtablefigurenote">
    <w:name w:val="VDWC table/figure note"/>
    <w:uiPriority w:val="4"/>
    <w:rsid w:val="00DF788C"/>
    <w:pPr>
      <w:spacing w:before="80" w:after="80" w:line="240" w:lineRule="exact"/>
    </w:pPr>
    <w:rPr>
      <w:rFonts w:ascii="Arial" w:hAnsi="Arial"/>
      <w:lang w:eastAsia="en-US"/>
    </w:rPr>
  </w:style>
  <w:style w:type="paragraph" w:customStyle="1" w:styleId="VDWCtabletext">
    <w:name w:val="VDWC table text"/>
    <w:uiPriority w:val="3"/>
    <w:qFormat/>
    <w:rsid w:val="00E30414"/>
    <w:pPr>
      <w:spacing w:before="80" w:after="60"/>
    </w:pPr>
    <w:rPr>
      <w:rFonts w:ascii="Arial" w:hAnsi="Arial"/>
      <w:lang w:eastAsia="en-US"/>
    </w:rPr>
  </w:style>
  <w:style w:type="paragraph" w:customStyle="1" w:styleId="VDWCtablecaption">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customStyle="1" w:styleId="VDWCfigurecaption">
    <w:name w:val="VDWC figure caption"/>
    <w:next w:val="VDWCbody"/>
    <w:rsid w:val="00DB6F95"/>
    <w:pPr>
      <w:keepNext/>
      <w:keepLines/>
      <w:spacing w:before="240" w:after="120"/>
    </w:pPr>
    <w:rPr>
      <w:rFonts w:ascii="Arial" w:hAnsi="Arial"/>
      <w:b/>
      <w:sz w:val="22"/>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2"/>
      </w:numPr>
      <w:spacing w:after="40"/>
    </w:pPr>
  </w:style>
  <w:style w:type="paragraph" w:customStyle="1" w:styleId="VDWCheader">
    <w:name w:val="VDWC header"/>
    <w:basedOn w:val="VDWCfooter"/>
    <w:uiPriority w:val="11"/>
    <w:rsid w:val="00E969B1"/>
  </w:style>
  <w:style w:type="character" w:styleId="Strong">
    <w:name w:val="Strong"/>
    <w:uiPriority w:val="22"/>
    <w:qFormat/>
    <w:rsid w:val="00DC19D8"/>
    <w:rPr>
      <w:b/>
      <w:bCs/>
    </w:rPr>
  </w:style>
  <w:style w:type="paragraph" w:customStyle="1" w:styleId="VDWCnumberdigit">
    <w:name w:val="VDWC number digit"/>
    <w:basedOn w:val="VDWCbody"/>
    <w:uiPriority w:val="2"/>
    <w:rsid w:val="00EC1DD4"/>
    <w:pPr>
      <w:numPr>
        <w:numId w:val="17"/>
      </w:numPr>
    </w:pPr>
  </w:style>
  <w:style w:type="paragraph" w:customStyle="1" w:styleId="VDWCtablecolhead">
    <w:name w:val="VDWC table col head"/>
    <w:uiPriority w:val="3"/>
    <w:qFormat/>
    <w:rsid w:val="00DB6F95"/>
    <w:pPr>
      <w:spacing w:before="80" w:after="60"/>
    </w:pPr>
    <w:rPr>
      <w:rFonts w:ascii="Arial" w:hAnsi="Arial"/>
      <w:b/>
      <w:color w:val="1D1937"/>
      <w:sz w:val="22"/>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2"/>
      </w:numPr>
    </w:pPr>
  </w:style>
  <w:style w:type="paragraph" w:customStyle="1" w:styleId="VDWCnumberlowerroman">
    <w:name w:val="VDWC number lower roman"/>
    <w:basedOn w:val="VDWCbody"/>
    <w:uiPriority w:val="3"/>
    <w:rsid w:val="00F126F2"/>
    <w:pPr>
      <w:numPr>
        <w:numId w:val="23"/>
      </w:numPr>
    </w:pPr>
  </w:style>
  <w:style w:type="paragraph" w:customStyle="1" w:styleId="VDWCnumberlowerromanindent">
    <w:name w:val="VDWC number lower roman indent"/>
    <w:basedOn w:val="VDWCbody"/>
    <w:uiPriority w:val="3"/>
    <w:rsid w:val="00F126F2"/>
    <w:pPr>
      <w:numPr>
        <w:ilvl w:val="1"/>
        <w:numId w:val="23"/>
      </w:numPr>
    </w:pPr>
  </w:style>
  <w:style w:type="paragraph" w:customStyle="1" w:styleId="VDWCnumberdigitindent">
    <w:name w:val="VDWC number digit indent"/>
    <w:basedOn w:val="VDWCnumberloweralphaindent"/>
    <w:uiPriority w:val="3"/>
    <w:rsid w:val="00EC1DD4"/>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17"/>
      </w:numPr>
    </w:pPr>
  </w:style>
  <w:style w:type="paragraph" w:customStyle="1" w:styleId="VDWCbulletafternumbers2">
    <w:name w:val="VDWC bullet after numbers 2"/>
    <w:basedOn w:val="VDWCbody"/>
    <w:rsid w:val="00EC1DD4"/>
    <w:pPr>
      <w:numPr>
        <w:ilvl w:val="3"/>
        <w:numId w:val="17"/>
      </w:numPr>
    </w:pPr>
  </w:style>
  <w:style w:type="paragraph" w:customStyle="1" w:styleId="VDWCquotebullet1">
    <w:name w:val="VDWC quote bullet 1"/>
    <w:basedOn w:val="VDWCquote"/>
    <w:rsid w:val="00F126F2"/>
    <w:pPr>
      <w:numPr>
        <w:numId w:val="25"/>
      </w:numPr>
    </w:pPr>
  </w:style>
  <w:style w:type="paragraph" w:customStyle="1" w:styleId="VDWCquotebullet2">
    <w:name w:val="VDWC quote bullet 2"/>
    <w:basedOn w:val="VDWCquote"/>
    <w:rsid w:val="00F126F2"/>
    <w:pPr>
      <w:numPr>
        <w:ilvl w:val="1"/>
        <w:numId w:val="25"/>
      </w:numPr>
    </w:pPr>
  </w:style>
  <w:style w:type="paragraph" w:customStyle="1" w:styleId="VDWCtablebullet1">
    <w:name w:val="VDWC table bullet 1"/>
    <w:basedOn w:val="VDWCtabletext"/>
    <w:uiPriority w:val="3"/>
    <w:qFormat/>
    <w:rsid w:val="00F126F2"/>
    <w:pPr>
      <w:numPr>
        <w:numId w:val="27"/>
      </w:numPr>
    </w:pPr>
  </w:style>
  <w:style w:type="paragraph" w:customStyle="1" w:styleId="VDWCtablebullet2">
    <w:name w:val="VDWC table bullet 2"/>
    <w:basedOn w:val="VDWCtabletext"/>
    <w:uiPriority w:val="11"/>
    <w:rsid w:val="00F126F2"/>
    <w:pPr>
      <w:numPr>
        <w:ilvl w:val="1"/>
        <w:numId w:val="27"/>
      </w:numPr>
    </w:pPr>
  </w:style>
  <w:style w:type="numbering" w:customStyle="1" w:styleId="ZZNumbersdigit">
    <w:name w:val="ZZ Numbers digit"/>
    <w:rsid w:val="00EC1DD4"/>
    <w:pPr>
      <w:numPr>
        <w:numId w:val="17"/>
      </w:numPr>
    </w:pPr>
  </w:style>
  <w:style w:type="numbering" w:customStyle="1" w:styleId="ZZNumbersloweralpha">
    <w:name w:val="ZZ Numbers lower alpha"/>
    <w:basedOn w:val="NoList"/>
    <w:rsid w:val="00F126F2"/>
    <w:pPr>
      <w:numPr>
        <w:numId w:val="20"/>
      </w:numPr>
    </w:pPr>
  </w:style>
  <w:style w:type="numbering" w:customStyle="1" w:styleId="ZZQuotebullets">
    <w:name w:val="ZZ Quote bullets"/>
    <w:basedOn w:val="ZZNumbersdigit"/>
    <w:rsid w:val="00F126F2"/>
    <w:pPr>
      <w:numPr>
        <w:numId w:val="25"/>
      </w:numPr>
    </w:pPr>
  </w:style>
  <w:style w:type="numbering" w:customStyle="1" w:styleId="ZZNumberslowerroman">
    <w:name w:val="ZZ Numbers lower roman"/>
    <w:basedOn w:val="ZZQuotebullets"/>
    <w:rsid w:val="00F126F2"/>
    <w:pPr>
      <w:numPr>
        <w:numId w:val="23"/>
      </w:numPr>
    </w:pPr>
  </w:style>
  <w:style w:type="numbering" w:customStyle="1" w:styleId="ZZTablebullets">
    <w:name w:val="ZZ Table bullets"/>
    <w:basedOn w:val="NoList"/>
    <w:rsid w:val="00F126F2"/>
    <w:pPr>
      <w:numPr>
        <w:numId w:val="27"/>
      </w:numPr>
    </w:pPr>
  </w:style>
  <w:style w:type="paragraph" w:customStyle="1" w:styleId="Bulletafternumbers1">
    <w:name w:val="Bullet after numbers 1"/>
    <w:basedOn w:val="Normal"/>
    <w:uiPriority w:val="4"/>
    <w:rsid w:val="00033618"/>
    <w:pPr>
      <w:spacing w:after="120" w:line="280" w:lineRule="atLeast"/>
      <w:ind w:left="794" w:hanging="397"/>
    </w:pPr>
    <w:rPr>
      <w:rFonts w:ascii="Arial" w:eastAsia="Times" w:hAnsi="Arial"/>
      <w:sz w:val="21"/>
    </w:rPr>
  </w:style>
  <w:style w:type="paragraph" w:customStyle="1" w:styleId="Bulletafternumbers2">
    <w:name w:val="Bullet after numbers 2"/>
    <w:basedOn w:val="Normal"/>
    <w:rsid w:val="00033618"/>
    <w:pPr>
      <w:spacing w:after="120" w:line="280" w:lineRule="atLeast"/>
      <w:ind w:left="1191" w:hanging="397"/>
    </w:pPr>
    <w:rPr>
      <w:rFonts w:ascii="Arial" w:eastAsia="Times" w:hAnsi="Arial"/>
      <w:sz w:val="21"/>
    </w:rPr>
  </w:style>
  <w:style w:type="paragraph" w:customStyle="1" w:styleId="Numberdigit">
    <w:name w:val="Number digit"/>
    <w:basedOn w:val="Normal"/>
    <w:uiPriority w:val="2"/>
    <w:rsid w:val="00033618"/>
    <w:pPr>
      <w:tabs>
        <w:tab w:val="num" w:pos="397"/>
      </w:tabs>
      <w:spacing w:after="120" w:line="280" w:lineRule="atLeast"/>
      <w:ind w:left="397" w:hanging="397"/>
    </w:pPr>
    <w:rPr>
      <w:rFonts w:ascii="Arial" w:eastAsia="Times" w:hAnsi="Arial"/>
      <w:sz w:val="21"/>
    </w:rPr>
  </w:style>
  <w:style w:type="paragraph" w:customStyle="1" w:styleId="Numberdigitindent">
    <w:name w:val="Number digit indent"/>
    <w:basedOn w:val="Normal"/>
    <w:uiPriority w:val="3"/>
    <w:rsid w:val="00033618"/>
    <w:pPr>
      <w:tabs>
        <w:tab w:val="num" w:pos="794"/>
      </w:tabs>
      <w:spacing w:after="120" w:line="280" w:lineRule="atLeast"/>
      <w:ind w:left="794" w:hanging="397"/>
    </w:pPr>
    <w:rPr>
      <w:rFonts w:ascii="Arial" w:eastAsia="Times" w:hAnsi="Arial"/>
      <w:sz w:val="21"/>
    </w:rPr>
  </w:style>
  <w:style w:type="paragraph" w:styleId="Caption">
    <w:name w:val="caption"/>
    <w:basedOn w:val="Normal"/>
    <w:next w:val="Normal"/>
    <w:uiPriority w:val="35"/>
    <w:unhideWhenUsed/>
    <w:qFormat/>
    <w:rsid w:val="009101E1"/>
    <w:pPr>
      <w:spacing w:after="200"/>
    </w:pPr>
    <w:rPr>
      <w:i/>
      <w:iCs/>
      <w:color w:val="44546A" w:themeColor="text2"/>
      <w:sz w:val="18"/>
      <w:szCs w:val="18"/>
    </w:rPr>
  </w:style>
  <w:style w:type="paragraph" w:styleId="CommentText">
    <w:name w:val="annotation text"/>
    <w:basedOn w:val="Normal"/>
    <w:link w:val="CommentTextChar"/>
    <w:uiPriority w:val="99"/>
    <w:semiHidden/>
    <w:unhideWhenUsed/>
    <w:rsid w:val="004948CA"/>
  </w:style>
  <w:style w:type="paragraph" w:customStyle="1" w:styleId="Bullet2">
    <w:name w:val="Bullet 2"/>
    <w:basedOn w:val="Normal"/>
    <w:rsid w:val="00F604CA"/>
    <w:pPr>
      <w:spacing w:after="60" w:line="280" w:lineRule="atLeast"/>
      <w:ind w:left="568" w:hanging="284"/>
    </w:pPr>
    <w:rPr>
      <w:rFonts w:ascii="Arial" w:eastAsia="Times" w:hAnsi="Arial"/>
      <w:sz w:val="23"/>
    </w:rPr>
  </w:style>
  <w:style w:type="table" w:customStyle="1" w:styleId="Tealtable">
    <w:name w:val="Teal table"/>
    <w:basedOn w:val="TableNormal"/>
    <w:next w:val="TableGrid"/>
    <w:uiPriority w:val="39"/>
    <w:rsid w:val="006D6EC1"/>
    <w:rPr>
      <w:rFonts w:ascii="Arial" w:eastAsia="Segoe UI" w:hAnsi="Arial"/>
      <w:sz w:val="22"/>
      <w:szCs w:val="22"/>
      <w:lang w:val="en-US" w:eastAsia="en-US"/>
    </w:rPr>
    <w:tblPr>
      <w:tblStyleRowBandSize w:val="1"/>
      <w:tblStyleColBandSize w:val="1"/>
      <w:tblInd w:w="0" w:type="nil"/>
      <w:tblBorders>
        <w:bottom w:val="single" w:sz="24" w:space="0" w:color="398E8B"/>
        <w:insideH w:val="single" w:sz="4" w:space="0" w:color="E6E6E6"/>
        <w:insideV w:val="single" w:sz="4" w:space="0" w:color="E6E6E6"/>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character" w:customStyle="1" w:styleId="CommentTextChar">
    <w:name w:val="Comment Text Char"/>
    <w:basedOn w:val="DefaultParagraphFont"/>
    <w:link w:val="CommentText"/>
    <w:uiPriority w:val="99"/>
    <w:semiHidden/>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1C241F"/>
    <w:pPr>
      <w:pBdr>
        <w:top w:val="single" w:sz="18" w:space="1" w:color="398E8B"/>
        <w:bottom w:val="single" w:sz="18" w:space="1" w:color="398E8B"/>
      </w:pBdr>
      <w:spacing w:before="120" w:line="280" w:lineRule="atLeast"/>
      <w:ind w:left="397" w:right="397"/>
    </w:pPr>
    <w:rPr>
      <w:b/>
      <w:sz w:val="23"/>
      <w:szCs w:val="18"/>
    </w:rPr>
  </w:style>
  <w:style w:type="paragraph" w:customStyle="1" w:styleId="Numberloweralpha">
    <w:name w:val="Number lower alpha"/>
    <w:basedOn w:val="Normal"/>
    <w:uiPriority w:val="3"/>
    <w:rsid w:val="00702704"/>
    <w:pPr>
      <w:tabs>
        <w:tab w:val="num" w:pos="397"/>
      </w:tabs>
      <w:spacing w:after="120" w:line="280" w:lineRule="atLeast"/>
      <w:ind w:left="397" w:hanging="397"/>
    </w:pPr>
    <w:rPr>
      <w:rFonts w:ascii="Arial" w:eastAsia="Times" w:hAnsi="Arial"/>
      <w:sz w:val="23"/>
    </w:rPr>
  </w:style>
  <w:style w:type="paragraph" w:customStyle="1" w:styleId="Numberloweralphaindent">
    <w:name w:val="Number lower alpha indent"/>
    <w:basedOn w:val="Normal"/>
    <w:uiPriority w:val="3"/>
    <w:rsid w:val="00702704"/>
    <w:pPr>
      <w:tabs>
        <w:tab w:val="num" w:pos="794"/>
      </w:tabs>
      <w:spacing w:after="120" w:line="280" w:lineRule="atLeast"/>
      <w:ind w:left="794" w:hanging="397"/>
    </w:pPr>
    <w:rPr>
      <w:rFonts w:ascii="Arial" w:eastAsia="Times" w:hAnsi="Arial"/>
      <w:sz w:val="21"/>
    </w:rPr>
  </w:style>
  <w:style w:type="paragraph" w:customStyle="1" w:styleId="Heading2notinTOC">
    <w:name w:val="Heading 2 not in TOC"/>
    <w:basedOn w:val="Heading2"/>
    <w:next w:val="VDWCbody"/>
    <w:rsid w:val="00FF642E"/>
  </w:style>
  <w:style w:type="character" w:styleId="UnresolvedMention">
    <w:name w:val="Unresolved Mention"/>
    <w:basedOn w:val="DefaultParagraphFont"/>
    <w:uiPriority w:val="99"/>
    <w:semiHidden/>
    <w:unhideWhenUsed/>
    <w:rsid w:val="00F278E9"/>
    <w:rPr>
      <w:color w:val="605E5C"/>
      <w:shd w:val="clear" w:color="auto" w:fill="E1DFDD"/>
    </w:rPr>
  </w:style>
  <w:style w:type="paragraph" w:customStyle="1" w:styleId="Tablecaption">
    <w:name w:val="Table caption"/>
    <w:basedOn w:val="VDWCbody"/>
    <w:qFormat/>
    <w:rsid w:val="00F2667B"/>
    <w:pPr>
      <w:keepNext/>
      <w:spacing w:before="160" w:line="320" w:lineRule="atLeast"/>
    </w:pPr>
    <w:rPr>
      <w:b/>
      <w:bCs/>
      <w:sz w:val="24"/>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Heading1Imprint">
    <w:name w:val="Heading 1 Imprint"/>
    <w:basedOn w:val="Heading1"/>
    <w:rsid w:val="00960352"/>
    <w:pPr>
      <w:spacing w:before="240" w:after="120" w:line="320" w:lineRule="atLeast"/>
    </w:pPr>
    <w:rPr>
      <w:b/>
      <w:bCs w:val="0"/>
      <w:sz w:val="24"/>
      <w:szCs w:val="24"/>
    </w:rPr>
  </w:style>
  <w:style w:type="paragraph" w:styleId="Revision">
    <w:name w:val="Revision"/>
    <w:hidden/>
    <w:uiPriority w:val="71"/>
    <w:rsid w:val="0096035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vdwc.vic.gov.au"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vdwc.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4.jpe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378F7C2DC88E4B9CB800189BBDFA50" ma:contentTypeVersion="12" ma:contentTypeDescription="Create a new document." ma:contentTypeScope="" ma:versionID="d95a31df3742d89443ce84e0a34a79bb">
  <xsd:schema xmlns:xsd="http://www.w3.org/2001/XMLSchema" xmlns:xs="http://www.w3.org/2001/XMLSchema" xmlns:p="http://schemas.microsoft.com/office/2006/metadata/properties" xmlns:ns2="0a796663-07b1-45ae-9a29-dc6c186cfcd2" xmlns:ns3="b8ac6c3c-bf01-48ca-9182-c1ef7a70d069" targetNamespace="http://schemas.microsoft.com/office/2006/metadata/properties" ma:root="true" ma:fieldsID="a5c5fecd15839a190ddd1c069f7712f5" ns2:_="" ns3:_="">
    <xsd:import namespace="0a796663-07b1-45ae-9a29-dc6c186cfcd2"/>
    <xsd:import namespace="b8ac6c3c-bf01-48ca-9182-c1ef7a70d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96663-07b1-45ae-9a29-dc6c186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ac6c3c-bf01-48ca-9182-c1ef7a70d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2.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customXml/itemProps4.xml><?xml version="1.0" encoding="utf-8"?>
<ds:datastoreItem xmlns:ds="http://schemas.openxmlformats.org/officeDocument/2006/customXml" ds:itemID="{5C832B2A-C7D9-4033-9418-E3297637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96663-07b1-45ae-9a29-dc6c186cfcd2"/>
    <ds:schemaRef ds:uri="b8ac6c3c-bf01-48ca-9182-c1ef7a70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3541</Words>
  <Characters>22321</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corporate plan 2022 to 2024</vt:lpstr>
    </vt:vector>
  </TitlesOfParts>
  <Manager/>
  <Company>Victorian Disability Worker Commission</Company>
  <LinksUpToDate>false</LinksUpToDate>
  <CharactersWithSpaces>25811</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corporate plan 2022 to 2024</dc:title>
  <dc:subject>Victorian Disability Worker Commission and Disability Worker Registration Board of Victoria corporate plan 2022 to 2024</dc:subject>
  <dc:creator>Victorian Disability Worker Commission</dc:creator>
  <cp:keywords>Corporate plan; Victorian Disability Worker Commission; Disability Worker Registration Board of Victoria; values; outcomes; priorities; plan</cp:keywords>
  <dc:description/>
  <cp:lastModifiedBy>Kirsten Howe (VDWC)</cp:lastModifiedBy>
  <cp:revision>3</cp:revision>
  <cp:lastPrinted>2022-09-21T02:12:00Z</cp:lastPrinted>
  <dcterms:created xsi:type="dcterms:W3CDTF">2022-10-06T21:52:00Z</dcterms:created>
  <dcterms:modified xsi:type="dcterms:W3CDTF">2022-10-06T21:55:00Z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0x01010008378F7C2DC88E4B9CB800189BBDFA50</vt:lpwstr>
  </property>
  <property fmtid="{D5CDD505-2E9C-101B-9397-08002B2CF9AE}" pid="4" name="MSIP_Label_43e64453-338c-4f93-8a4d-0039a0a41f2a_Enabled">
    <vt:lpwstr>true</vt:lpwstr>
  </property>
  <property fmtid="{D5CDD505-2E9C-101B-9397-08002B2CF9AE}" pid="5" name="MSIP_Label_43e64453-338c-4f93-8a4d-0039a0a41f2a_SetDate">
    <vt:lpwstr>2022-10-06T21:55:31Z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fdfddf55-dfce-4552-bfa5-c93f42095c1b</vt:lpwstr>
  </property>
  <property fmtid="{D5CDD505-2E9C-101B-9397-08002B2CF9AE}" pid="10" name="MSIP_Label_43e64453-338c-4f93-8a4d-0039a0a41f2a_ContentBits">
    <vt:lpwstr>2</vt:lpwstr>
  </property>
</Properties>
</file>